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BA4248" w:rsidRDefault="00BA4248" w:rsidP="00BA42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BA4248">
        <w:rPr>
          <w:rFonts w:ascii="Times New Roman" w:eastAsia="Calibri" w:hAnsi="Times New Roman" w:cs="Times New Roman"/>
          <w:b/>
          <w:sz w:val="28"/>
          <w:szCs w:val="28"/>
          <w:lang w:val="ro-RO"/>
        </w:rPr>
        <w:t>Spray I</w:t>
      </w: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>NSECTOL</w:t>
      </w:r>
    </w:p>
    <w:p w:rsidR="00BB5863" w:rsidRPr="00BA4248" w:rsidRDefault="00BB5863" w:rsidP="00BA42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Pr="00E240CC" w:rsidRDefault="00D93819" w:rsidP="00E240CC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D93819" w:rsidRPr="00C66E1F" w:rsidRDefault="00D93819" w:rsidP="00C66E1F">
      <w:pPr>
        <w:numPr>
          <w:ilvl w:val="0"/>
          <w:numId w:val="2"/>
        </w:numPr>
        <w:spacing w:after="0" w:line="276" w:lineRule="auto"/>
        <w:ind w:left="0"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  <w:r w:rsidRPr="00C66E1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</w:t>
      </w:r>
      <w:r w:rsidR="00B4456C" w:rsidRPr="00C66E1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ICATULUI DE ÎNREGISTRARE ȘI ALE</w:t>
      </w:r>
      <w:r w:rsidRPr="00C66E1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PRODUCĂTORULUI/FABRICANTULUI RESPONSABIL PENTRU ELIBERAREA SERIILOR MEDICAMENTULUI DE UZ VETERINAR</w:t>
      </w:r>
      <w:r w:rsidR="00C66E1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</w:t>
      </w:r>
      <w:r w:rsidRPr="00C66E1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 w:rsidR="00C66E1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, </w:t>
      </w:r>
      <w:r w:rsidRPr="00C66E1F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D93819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BA4248" w:rsidRPr="00BA4248" w:rsidRDefault="00BA4248" w:rsidP="00BA4248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BA4248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 ml de preparat conține substanța activă:</w:t>
      </w:r>
    </w:p>
    <w:p w:rsidR="00BA4248" w:rsidRPr="00BA4248" w:rsidRDefault="00BA4248" w:rsidP="00BA4248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D</w:t>
      </w:r>
      <w:r w:rsidRPr="00BA4248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eltametrin - 0,25 mg.</w:t>
      </w:r>
    </w:p>
    <w:p w:rsidR="003F092D" w:rsidRPr="003F092D" w:rsidRDefault="00944378" w:rsidP="003F092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94437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 w:rsidR="003F092D" w:rsidRPr="003F092D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r w:rsidR="00BA4248" w:rsidRPr="00BA4248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alcool izopropilic, ulei de ricin, apă distilată.</w:t>
      </w:r>
    </w:p>
    <w:p w:rsidR="00944378" w:rsidRPr="003F092D" w:rsidRDefault="00944378" w:rsidP="00944378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BA4248" w:rsidRPr="00BA4248" w:rsidRDefault="00A40486" w:rsidP="00BA4248">
      <w:pPr>
        <w:pStyle w:val="1130373e324b39"/>
        <w:spacing w:line="276" w:lineRule="auto"/>
        <w:ind w:left="23" w:firstLine="561"/>
        <w:rPr>
          <w:rFonts w:eastAsia="Calibri"/>
          <w:color w:val="000000"/>
          <w:sz w:val="28"/>
          <w:szCs w:val="28"/>
          <w:lang w:val="ro-RO" w:eastAsia="ru-RU"/>
        </w:rPr>
      </w:pPr>
      <w:r>
        <w:rPr>
          <w:rFonts w:eastAsia="Calibri"/>
          <w:color w:val="000000"/>
          <w:sz w:val="28"/>
          <w:szCs w:val="28"/>
          <w:lang w:val="ro-RO" w:eastAsia="ru-RU"/>
        </w:rPr>
        <w:tab/>
      </w:r>
      <w:r w:rsidR="00BA4248" w:rsidRPr="00BA4248">
        <w:rPr>
          <w:rFonts w:eastAsia="Calibri"/>
          <w:color w:val="000000"/>
          <w:sz w:val="28"/>
          <w:szCs w:val="28"/>
          <w:lang w:val="ro-RO" w:eastAsia="ru-RU"/>
        </w:rPr>
        <w:t>Tratamentul și prevenirea infectării cu ectoparaziți a câinilor și a pisicilor:</w:t>
      </w:r>
    </w:p>
    <w:p w:rsidR="00BA4248" w:rsidRPr="00BA4248" w:rsidRDefault="00BA4248" w:rsidP="00BA4248">
      <w:pPr>
        <w:pStyle w:val="1130373e324b39"/>
        <w:spacing w:line="276" w:lineRule="auto"/>
        <w:ind w:left="23" w:firstLine="561"/>
        <w:rPr>
          <w:rFonts w:eastAsia="Calibri"/>
          <w:color w:val="000000"/>
          <w:sz w:val="28"/>
          <w:szCs w:val="28"/>
          <w:lang w:val="ro-RO" w:eastAsia="ru-RU"/>
        </w:rPr>
      </w:pPr>
      <w:r w:rsidRPr="00BA4248">
        <w:rPr>
          <w:rFonts w:eastAsia="Calibri"/>
          <w:color w:val="000000"/>
          <w:sz w:val="28"/>
          <w:szCs w:val="28"/>
          <w:lang w:val="ro-RO" w:eastAsia="ru-RU"/>
        </w:rPr>
        <w:t>- purici (</w:t>
      </w:r>
      <w:r w:rsidRPr="00BA4248">
        <w:rPr>
          <w:rFonts w:eastAsia="Calibri"/>
          <w:i/>
          <w:color w:val="000000"/>
          <w:sz w:val="28"/>
          <w:szCs w:val="28"/>
          <w:lang w:val="ro-RO" w:eastAsia="ru-RU"/>
        </w:rPr>
        <w:t>Ctenocephalus canis, Ctenocephalus felis</w:t>
      </w:r>
      <w:r w:rsidRPr="00BA4248">
        <w:rPr>
          <w:rFonts w:eastAsia="Calibri"/>
          <w:color w:val="000000"/>
          <w:sz w:val="28"/>
          <w:szCs w:val="28"/>
          <w:lang w:val="ro-RO" w:eastAsia="ru-RU"/>
        </w:rPr>
        <w:t>);</w:t>
      </w:r>
    </w:p>
    <w:p w:rsidR="00BA4248" w:rsidRPr="00BA4248" w:rsidRDefault="00BA4248" w:rsidP="00BA4248">
      <w:pPr>
        <w:pStyle w:val="1130373e324b39"/>
        <w:spacing w:line="276" w:lineRule="auto"/>
        <w:ind w:left="23" w:firstLine="561"/>
        <w:rPr>
          <w:rFonts w:eastAsia="Calibri"/>
          <w:color w:val="000000"/>
          <w:sz w:val="28"/>
          <w:szCs w:val="28"/>
          <w:lang w:val="ro-RO" w:eastAsia="ru-RU"/>
        </w:rPr>
      </w:pPr>
      <w:r w:rsidRPr="00BA4248">
        <w:rPr>
          <w:rFonts w:eastAsia="Calibri"/>
          <w:color w:val="000000"/>
          <w:sz w:val="28"/>
          <w:szCs w:val="28"/>
          <w:lang w:val="ro-RO" w:eastAsia="ru-RU"/>
        </w:rPr>
        <w:t>- păduchi (</w:t>
      </w:r>
      <w:r w:rsidRPr="00BA4248">
        <w:rPr>
          <w:rFonts w:eastAsia="Calibri"/>
          <w:i/>
          <w:color w:val="000000"/>
          <w:sz w:val="28"/>
          <w:szCs w:val="28"/>
          <w:lang w:val="ro-RO" w:eastAsia="ru-RU"/>
        </w:rPr>
        <w:t>Linognathus setosus</w:t>
      </w:r>
      <w:r w:rsidRPr="00BA4248">
        <w:rPr>
          <w:rFonts w:eastAsia="Calibri"/>
          <w:color w:val="000000"/>
          <w:sz w:val="28"/>
          <w:szCs w:val="28"/>
          <w:lang w:val="ro-RO" w:eastAsia="ru-RU"/>
        </w:rPr>
        <w:t>);</w:t>
      </w:r>
    </w:p>
    <w:p w:rsidR="00BA4248" w:rsidRPr="00BA4248" w:rsidRDefault="00BA4248" w:rsidP="00BA4248">
      <w:pPr>
        <w:pStyle w:val="1130373e324b39"/>
        <w:spacing w:line="276" w:lineRule="auto"/>
        <w:ind w:left="23" w:firstLine="561"/>
        <w:rPr>
          <w:rFonts w:eastAsia="Calibri"/>
          <w:color w:val="000000"/>
          <w:sz w:val="28"/>
          <w:szCs w:val="28"/>
          <w:lang w:val="ro-RO" w:eastAsia="ru-RU"/>
        </w:rPr>
      </w:pPr>
      <w:r w:rsidRPr="00BA4248">
        <w:rPr>
          <w:rFonts w:eastAsia="Calibri"/>
          <w:color w:val="000000"/>
          <w:sz w:val="28"/>
          <w:szCs w:val="28"/>
          <w:lang w:val="ro-RO" w:eastAsia="ru-RU"/>
        </w:rPr>
        <w:t>- malofagi (</w:t>
      </w:r>
      <w:r w:rsidRPr="00BA4248">
        <w:rPr>
          <w:rFonts w:eastAsia="Calibri"/>
          <w:i/>
          <w:color w:val="000000"/>
          <w:sz w:val="28"/>
          <w:szCs w:val="28"/>
          <w:lang w:val="ro-RO" w:eastAsia="ru-RU"/>
        </w:rPr>
        <w:t>Trichodectes canis, Felicola subrostratus</w:t>
      </w:r>
      <w:r w:rsidRPr="00BA4248">
        <w:rPr>
          <w:rFonts w:eastAsia="Calibri"/>
          <w:color w:val="000000"/>
          <w:sz w:val="28"/>
          <w:szCs w:val="28"/>
          <w:lang w:val="ro-RO" w:eastAsia="ru-RU"/>
        </w:rPr>
        <w:t>);</w:t>
      </w:r>
    </w:p>
    <w:p w:rsidR="00BA4248" w:rsidRPr="00BA4248" w:rsidRDefault="00BA4248" w:rsidP="00BA4248">
      <w:pPr>
        <w:pStyle w:val="1130373e324b39"/>
        <w:spacing w:line="276" w:lineRule="auto"/>
        <w:ind w:left="23" w:firstLine="561"/>
        <w:rPr>
          <w:rFonts w:eastAsia="Calibri"/>
          <w:color w:val="000000"/>
          <w:sz w:val="28"/>
          <w:szCs w:val="28"/>
          <w:lang w:val="ro-RO" w:eastAsia="ru-RU"/>
        </w:rPr>
      </w:pPr>
      <w:r w:rsidRPr="00BA4248">
        <w:rPr>
          <w:rFonts w:eastAsia="Calibri"/>
          <w:color w:val="000000"/>
          <w:sz w:val="28"/>
          <w:szCs w:val="28"/>
          <w:lang w:val="ro-RO" w:eastAsia="ru-RU"/>
        </w:rPr>
        <w:t>- acarienii scabiei (</w:t>
      </w:r>
      <w:r w:rsidRPr="00BA4248">
        <w:rPr>
          <w:rFonts w:eastAsia="Calibri"/>
          <w:i/>
          <w:color w:val="000000"/>
          <w:sz w:val="28"/>
          <w:szCs w:val="28"/>
          <w:lang w:val="ro-RO" w:eastAsia="ru-RU"/>
        </w:rPr>
        <w:t>Otodectes spp.</w:t>
      </w:r>
      <w:r w:rsidRPr="00BA4248">
        <w:rPr>
          <w:rFonts w:eastAsia="Calibri"/>
          <w:color w:val="000000"/>
          <w:sz w:val="28"/>
          <w:szCs w:val="28"/>
          <w:lang w:val="ro-RO" w:eastAsia="ru-RU"/>
        </w:rPr>
        <w:t>);</w:t>
      </w:r>
    </w:p>
    <w:p w:rsidR="00C66E1F" w:rsidRDefault="00BA4248" w:rsidP="00C66E1F">
      <w:pPr>
        <w:pStyle w:val="1130373e324b39"/>
        <w:spacing w:line="276" w:lineRule="auto"/>
        <w:ind w:left="23" w:firstLine="561"/>
        <w:rPr>
          <w:rFonts w:eastAsia="Calibri"/>
          <w:color w:val="000000"/>
          <w:sz w:val="28"/>
          <w:szCs w:val="28"/>
          <w:lang w:val="ro-RO" w:eastAsia="ru-RU"/>
        </w:rPr>
      </w:pPr>
      <w:r w:rsidRPr="00BA4248">
        <w:rPr>
          <w:rFonts w:eastAsia="Calibri"/>
          <w:color w:val="000000"/>
          <w:sz w:val="28"/>
          <w:szCs w:val="28"/>
          <w:lang w:val="ro-RO" w:eastAsia="ru-RU"/>
        </w:rPr>
        <w:t>- căpușe parazitiforme (ixodide) (</w:t>
      </w:r>
      <w:r w:rsidRPr="00BA4248">
        <w:rPr>
          <w:rFonts w:eastAsia="Calibri"/>
          <w:i/>
          <w:color w:val="000000"/>
          <w:sz w:val="28"/>
          <w:szCs w:val="28"/>
          <w:lang w:val="ro-RO" w:eastAsia="ru-RU"/>
        </w:rPr>
        <w:t>Dermacentor pictus, Dermacentor marginatus, Rhipicephalus sanguineus, Ixodes ricinus</w:t>
      </w:r>
      <w:r w:rsidRPr="00BA4248">
        <w:rPr>
          <w:rFonts w:eastAsia="Calibri"/>
          <w:color w:val="000000"/>
          <w:sz w:val="28"/>
          <w:szCs w:val="28"/>
          <w:lang w:val="ro-RO" w:eastAsia="ru-RU"/>
        </w:rPr>
        <w:t>).</w:t>
      </w:r>
    </w:p>
    <w:p w:rsidR="00C66E1F" w:rsidRDefault="00C66E1F" w:rsidP="00C66E1F">
      <w:pPr>
        <w:pStyle w:val="1130373e324b39"/>
        <w:spacing w:line="276" w:lineRule="auto"/>
        <w:ind w:left="23" w:firstLine="561"/>
        <w:rPr>
          <w:rFonts w:eastAsia="Calibri"/>
          <w:color w:val="000000"/>
          <w:sz w:val="28"/>
          <w:szCs w:val="28"/>
          <w:lang w:val="ro-RO" w:eastAsia="ru-RU"/>
        </w:rPr>
      </w:pPr>
    </w:p>
    <w:p w:rsidR="00C66E1F" w:rsidRDefault="00C66E1F" w:rsidP="00C66E1F">
      <w:pPr>
        <w:pStyle w:val="1130373e324b39"/>
        <w:spacing w:line="276" w:lineRule="auto"/>
        <w:ind w:left="23" w:firstLine="561"/>
        <w:rPr>
          <w:rFonts w:eastAsia="Calibri"/>
          <w:color w:val="000000"/>
          <w:sz w:val="28"/>
          <w:szCs w:val="28"/>
          <w:lang w:val="ro-RO" w:eastAsia="ru-RU"/>
        </w:rPr>
      </w:pPr>
    </w:p>
    <w:p w:rsidR="00EB06A5" w:rsidRPr="00C66E1F" w:rsidRDefault="00D93819" w:rsidP="00C66E1F">
      <w:pPr>
        <w:rPr>
          <w:rFonts w:ascii="Times New Roman" w:hAnsi="Times New Roman" w:cs="Times New Roman"/>
          <w:b/>
          <w:sz w:val="28"/>
          <w:szCs w:val="28"/>
          <w:lang w:val="ro-RO" w:eastAsia="ru-RU" w:bidi="hi-IN"/>
        </w:rPr>
      </w:pPr>
      <w:r w:rsidRPr="00C66E1F">
        <w:rPr>
          <w:rFonts w:ascii="Times New Roman" w:hAnsi="Times New Roman" w:cs="Times New Roman"/>
          <w:b/>
          <w:sz w:val="28"/>
          <w:szCs w:val="28"/>
          <w:lang w:val="ro-RO" w:eastAsia="ru-RU"/>
        </w:rPr>
        <w:lastRenderedPageBreak/>
        <w:t>4. CONTRAINDICAȚII</w:t>
      </w:r>
    </w:p>
    <w:p w:rsidR="008523C1" w:rsidRPr="008523C1" w:rsidRDefault="008523C1" w:rsidP="008523C1">
      <w:pPr>
        <w:pStyle w:val="1130373e324b39"/>
        <w:widowControl/>
        <w:spacing w:line="276" w:lineRule="auto"/>
        <w:ind w:left="23" w:firstLine="561"/>
        <w:jc w:val="both"/>
        <w:rPr>
          <w:rFonts w:eastAsia="Times New Roman"/>
          <w:color w:val="000000"/>
          <w:sz w:val="28"/>
          <w:szCs w:val="28"/>
          <w:lang w:val="ro-RO" w:eastAsia="uk-UA" w:bidi="ar-SA"/>
        </w:rPr>
      </w:pPr>
      <w:r w:rsidRPr="008523C1">
        <w:rPr>
          <w:rFonts w:eastAsia="Times New Roman"/>
          <w:color w:val="000000"/>
          <w:sz w:val="28"/>
          <w:szCs w:val="28"/>
          <w:lang w:val="ro-RO" w:eastAsia="uk-UA" w:bidi="ar-SA"/>
        </w:rPr>
        <w:t>A nu se prelucra animalele bolnave și lihnite</w:t>
      </w:r>
      <w:r w:rsidRPr="008523C1">
        <w:rPr>
          <w:color w:val="000000"/>
          <w:sz w:val="28"/>
          <w:szCs w:val="28"/>
          <w:lang w:val="ro-RO" w:eastAsia="uk-UA" w:bidi="ar-SA"/>
        </w:rPr>
        <w:t xml:space="preserve">, animalele în </w:t>
      </w:r>
      <w:r w:rsidRPr="008523C1">
        <w:rPr>
          <w:rFonts w:eastAsia="Times New Roman"/>
          <w:color w:val="000000"/>
          <w:sz w:val="28"/>
          <w:szCs w:val="28"/>
          <w:lang w:val="ro-RO" w:eastAsia="uk-UA" w:bidi="ar-SA"/>
        </w:rPr>
        <w:t>perioada de gestație</w:t>
      </w:r>
      <w:r w:rsidRPr="008523C1">
        <w:rPr>
          <w:color w:val="000000"/>
          <w:sz w:val="28"/>
          <w:szCs w:val="28"/>
          <w:lang w:val="ro-RO" w:eastAsia="uk-UA" w:bidi="ar-SA"/>
        </w:rPr>
        <w:t xml:space="preserve"> și alăpt</w:t>
      </w:r>
      <w:r w:rsidRPr="008523C1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are, </w:t>
      </w:r>
      <w:r w:rsidRPr="008523C1">
        <w:rPr>
          <w:color w:val="000000"/>
          <w:sz w:val="28"/>
          <w:szCs w:val="28"/>
          <w:lang w:val="ro-RO" w:eastAsia="uk-UA" w:bidi="ar-SA"/>
        </w:rPr>
        <w:t>căței</w:t>
      </w:r>
      <w:r w:rsidRPr="008523C1">
        <w:rPr>
          <w:rFonts w:eastAsia="Times New Roman"/>
          <w:color w:val="000000"/>
          <w:sz w:val="28"/>
          <w:szCs w:val="28"/>
          <w:lang w:val="ro-RO" w:eastAsia="uk-UA" w:bidi="ar-SA"/>
        </w:rPr>
        <w:t xml:space="preserve">i și pisicile </w:t>
      </w:r>
      <w:r w:rsidR="00624DCB">
        <w:rPr>
          <w:color w:val="000000"/>
          <w:sz w:val="28"/>
          <w:szCs w:val="28"/>
          <w:lang w:val="ro-RO" w:eastAsia="uk-UA" w:bidi="ar-SA"/>
        </w:rPr>
        <w:t>cu vârsta de până la 8</w:t>
      </w:r>
      <w:r w:rsidRPr="008523C1">
        <w:rPr>
          <w:color w:val="000000"/>
          <w:sz w:val="28"/>
          <w:szCs w:val="28"/>
          <w:lang w:val="ro-RO" w:eastAsia="uk-UA" w:bidi="ar-SA"/>
        </w:rPr>
        <w:t xml:space="preserve"> săptămâni,  precum și animalele sensibile la componentele </w:t>
      </w:r>
      <w:r w:rsidRPr="008523C1">
        <w:rPr>
          <w:rFonts w:eastAsia="Times New Roman"/>
          <w:color w:val="000000"/>
          <w:sz w:val="28"/>
          <w:szCs w:val="28"/>
          <w:lang w:val="ro-RO" w:eastAsia="uk-UA" w:bidi="ar-SA"/>
        </w:rPr>
        <w:t>preparatului.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D93819" w:rsidRPr="00B4456C" w:rsidRDefault="009A233F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  <w:r w:rsidR="00B4456C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8523C1" w:rsidRDefault="008523C1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Câini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C66E1F" w:rsidRDefault="00624DCB" w:rsidP="00624DCB">
      <w:pPr>
        <w:autoSpaceDE w:val="0"/>
        <w:autoSpaceDN w:val="0"/>
        <w:adjustRightInd w:val="0"/>
        <w:spacing w:after="0" w:line="276" w:lineRule="auto"/>
        <w:ind w:left="23" w:firstLine="56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</w:pP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en-US" w:eastAsia="uk-UA"/>
        </w:rPr>
        <w:t xml:space="preserve"> </w:t>
      </w:r>
      <w:r w:rsidRPr="00624DCB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val="ro-RO" w:eastAsia="uk-UA"/>
        </w:rPr>
        <w:t>Extern.</w:t>
      </w: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 xml:space="preserve"> Preparatul se aplică pe blana și pielea animalelor prin pulverizare timp de câteva secunde împotriva sensului de creștere a părului până la o ușoară umezire a blănii. În funcție de gradul de infectare cu ectoparaziți prelucrarea repetată se efectuează peste 10-14 zile.</w:t>
      </w:r>
    </w:p>
    <w:p w:rsidR="00624DCB" w:rsidRPr="00C66E1F" w:rsidRDefault="00624DCB" w:rsidP="00C66E1F">
      <w:pPr>
        <w:rPr>
          <w:rFonts w:ascii="Times New Roman" w:hAnsi="Times New Roman" w:cs="Times New Roman"/>
          <w:sz w:val="28"/>
          <w:szCs w:val="28"/>
          <w:lang w:val="ro-RO" w:eastAsia="uk-UA"/>
        </w:rPr>
      </w:pPr>
      <w:r w:rsidRPr="00C66E1F">
        <w:rPr>
          <w:rFonts w:ascii="Times New Roman" w:hAnsi="Times New Roman" w:cs="Times New Roman"/>
          <w:sz w:val="28"/>
          <w:szCs w:val="28"/>
          <w:lang w:val="ro-RO" w:eastAsia="uk-UA"/>
        </w:rPr>
        <w:t>Doza de preparat constituie:</w:t>
      </w:r>
    </w:p>
    <w:p w:rsidR="00624DCB" w:rsidRPr="00624DCB" w:rsidRDefault="00624DCB" w:rsidP="00C66E1F">
      <w:pP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</w:pPr>
      <w:r w:rsidRPr="00624DCB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val="ro-RO" w:eastAsia="uk-UA"/>
        </w:rPr>
        <w:t>pisici:</w:t>
      </w: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 xml:space="preserve"> 0,8 ml de preparat (6 pulverizări);</w:t>
      </w:r>
    </w:p>
    <w:p w:rsidR="00624DCB" w:rsidRPr="00624DCB" w:rsidRDefault="00624DCB" w:rsidP="00C66E1F">
      <w:pP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</w:pPr>
      <w:r w:rsidRPr="00624DCB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val="ro-RO" w:eastAsia="uk-UA"/>
        </w:rPr>
        <w:t>căței și pisici mici:</w:t>
      </w: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 xml:space="preserve"> 0,4 ml de preparat (3 pulverizări);</w:t>
      </w:r>
    </w:p>
    <w:p w:rsidR="00624DCB" w:rsidRPr="00624DCB" w:rsidRDefault="00624DCB" w:rsidP="00C66E1F">
      <w:pP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</w:pPr>
      <w:r w:rsidRPr="00624DCB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val="ro-RO" w:eastAsia="uk-UA"/>
        </w:rPr>
        <w:t>câini:</w:t>
      </w: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 xml:space="preserve"> cu greutatea corporală 2-10 kg - 0,8 ml de preparat (6 pulverizări);</w:t>
      </w:r>
    </w:p>
    <w:p w:rsidR="00624DCB" w:rsidRPr="00624DCB" w:rsidRDefault="00624DCB" w:rsidP="00C66E1F">
      <w:pP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</w:pP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>cu greutatea corporală 10-20 kg - 1,6 ml de preparat (12 pulverizări);</w:t>
      </w:r>
    </w:p>
    <w:p w:rsidR="00624DCB" w:rsidRPr="00624DCB" w:rsidRDefault="00624DCB" w:rsidP="00C66E1F">
      <w:pP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</w:pP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>cu greutatea corporală 20-40 kg - 2,4 ml de preparat (18 pulverizări);</w:t>
      </w:r>
    </w:p>
    <w:p w:rsidR="00624DCB" w:rsidRPr="00624DCB" w:rsidRDefault="00624DCB" w:rsidP="00C66E1F">
      <w:pP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</w:pP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>cu greutatea corporală mai mare de 40 kg - 3,2 ml de preparat (24 pulverizări).</w:t>
      </w:r>
    </w:p>
    <w:p w:rsidR="00624DCB" w:rsidRPr="00624DCB" w:rsidRDefault="00624DCB" w:rsidP="00C66E1F">
      <w:pP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</w:pP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 xml:space="preserve">O pulverizare se efectuează în decurs de o secundă.  </w:t>
      </w:r>
    </w:p>
    <w:p w:rsidR="00624DCB" w:rsidRPr="00624DCB" w:rsidRDefault="00624DCB" w:rsidP="00C66E1F">
      <w:pP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</w:pP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 xml:space="preserve"> În locurile de întreţinere şi odihnă a animalelor și în alte locuri unde pot exista paraziți (așternuturi, covorașe, crăpături în podea și mobilier) se pulverizează de la o distanță de 30-40 cm din calculul de 10 ml de preparat (75 pulverizări) la 1 m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vertAlign w:val="superscript"/>
          <w:lang w:val="ro-RO" w:eastAsia="uk-UA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>.</w:t>
      </w:r>
      <w:r w:rsidRPr="00624DC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o-RO" w:eastAsia="uk-UA"/>
        </w:rPr>
        <w:t xml:space="preserve"> 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3755C7" w:rsidRPr="003755C7" w:rsidRDefault="003755C7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3755C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este cazul.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3C1843" w:rsidRDefault="00D93819" w:rsidP="003C1843">
      <w:pPr>
        <w:pStyle w:val="a3"/>
        <w:spacing w:line="276" w:lineRule="auto"/>
        <w:rPr>
          <w:rFonts w:ascii="Times New Roman" w:eastAsia="Arial Unicode MS" w:hAnsi="Times New Roman" w:cs="Times New Roman"/>
          <w:color w:val="000000"/>
          <w:kern w:val="1"/>
          <w:lang w:val="uk-UA" w:eastAsia="uk-U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ferit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lumină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inaccesibil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copiilor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plasat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temperaturi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la +</w:t>
      </w:r>
      <w:proofErr w:type="gramStart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5 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pînă</w:t>
      </w:r>
      <w:proofErr w:type="spellEnd"/>
      <w:proofErr w:type="gram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+25 ° С.</w:t>
      </w:r>
      <w:r w:rsidR="003C1843" w:rsidRPr="003C1843">
        <w:rPr>
          <w:rFonts w:ascii="Times New Roman" w:eastAsia="Arial Unicode MS" w:hAnsi="Times New Roman" w:cs="Times New Roman"/>
          <w:color w:val="000000"/>
          <w:kern w:val="1"/>
          <w:lang w:val="uk-UA" w:eastAsia="uk-UA"/>
        </w:rPr>
        <w:t xml:space="preserve"> </w:t>
      </w:r>
    </w:p>
    <w:p w:rsidR="003C1843" w:rsidRPr="003C1843" w:rsidRDefault="003C1843" w:rsidP="003C184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păstra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cu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alimente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băuturi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și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hrana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pentru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animale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1843" w:rsidRPr="003C1843" w:rsidRDefault="003C1843" w:rsidP="003C1843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lăsa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îndemâna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copiilor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D93819" w:rsidRPr="009A039B" w:rsidRDefault="00D93819" w:rsidP="009A039B">
      <w:pPr>
        <w:tabs>
          <w:tab w:val="left" w:pos="686"/>
        </w:tabs>
        <w:spacing w:after="240" w:line="240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C66E1F" w:rsidRDefault="00D93819" w:rsidP="00C66E1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ab/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B4456C" w:rsidRPr="00C66E1F" w:rsidRDefault="00B4456C" w:rsidP="00C66E1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B4456C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Produsul nu trebuie să fie deversat în cursuri de apă datorită pericolului pentru pești  și alte organisme acvatice</w:t>
      </w:r>
      <w:r w:rsidR="002B783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Pr="00B4456C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Nu contaminați lacurile cursurile de apă sau canalizarea cu produsul sau cu ambalajul acestuia.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3755C7" w:rsidRPr="003755C7" w:rsidRDefault="003755C7" w:rsidP="003755C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Pr="003755C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Tratamentul cu preparat se efectuează în aer liber sau într-o încăpere bine ventilată, ținând animalul până la uscarea completă a blănii.</w:t>
      </w:r>
    </w:p>
    <w:p w:rsidR="003755C7" w:rsidRPr="003755C7" w:rsidRDefault="003755C7" w:rsidP="003755C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Pr="003755C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 timpul prelucrării animalelor cu preparat se interzice fumatul, consumul băuturilor și alimentelor.</w:t>
      </w:r>
      <w:r w:rsidR="00624DCB" w:rsidRPr="00624DC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624DCB" w:rsidRPr="00624DC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La prelucrarea unui număr mare de animale se recomandă purtarea unei măști de protecție respiratorie</w:t>
      </w:r>
      <w:r w:rsidR="00624DC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  <w:r w:rsidRPr="003755C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A se evita contactul preparatului cu mucoasele și pătrunderea acestuia în interior. </w:t>
      </w:r>
      <w:r w:rsidR="00BB5863" w:rsidRPr="00BB586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pulveriza lângă flacără deschisă, a nu se admite supraîncălzirea preparatului. În urma contactului cu preparatul sunt posibile reacții alergice (strănut, lăcrimarea ochilor), care trec rapid.</w:t>
      </w:r>
      <w:r w:rsidR="00BB586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</w:t>
      </w:r>
      <w:r w:rsidRPr="003755C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În caz de contact accidental al preparatului cu pielea sau mucoasele, spălați imediat cu multă apă, iar dacă preparatul a pătruns în interior – consultați imediat medicul. La finisarea prelucrării spălați bine mâinele cu apă caldă și săpun.</w:t>
      </w:r>
      <w:r w:rsidRPr="003755C7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3755C7" w:rsidRPr="003755C7" w:rsidRDefault="003755C7" w:rsidP="003755C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3755C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Se interzice scăldatul și dezmierdarea animalelor timp de 48 de ore după prelucrare. Supravegheați animalului să nu se lingă pe blană după prelucrare.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2E79F9" w:rsidRPr="002E79F9" w:rsidRDefault="00D93819" w:rsidP="002E79F9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C66E1F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</w:t>
      </w:r>
      <w:r w:rsidR="003C1843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="002418C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luni.</w:t>
      </w:r>
      <w:r w:rsidR="004C454B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C639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2E79F9" w:rsidRPr="002E79F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Perioada de valabilitate a produsului medicinal veterinar după prima deschidere a ambalajului primar: l an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3C1843" w:rsidRDefault="00E240CC" w:rsidP="003C1843">
      <w:pPr>
        <w:numPr>
          <w:ilvl w:val="0"/>
          <w:numId w:val="3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3C1843" w:rsidRDefault="003C1843" w:rsidP="003C1843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BB5863" w:rsidRPr="00C66E1F" w:rsidRDefault="00D93819" w:rsidP="00C66E1F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C66E1F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C66E1F">
        <w:rPr>
          <w:rFonts w:ascii="Times New Roman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  <w:r w:rsidR="003C1843" w:rsidRPr="00C66E1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</w:t>
      </w:r>
      <w:r w:rsidR="00BB5863" w:rsidRPr="00C66E1F">
        <w:rPr>
          <w:rFonts w:ascii="Times New Roman" w:hAnsi="Times New Roman" w:cs="Times New Roman"/>
          <w:sz w:val="28"/>
          <w:szCs w:val="28"/>
          <w:lang w:val="ro-RO"/>
        </w:rPr>
        <w:t xml:space="preserve">Flacoane din polimer cu pulverizator a câte 30, 50, 75, 100, 150, 200 ml. </w:t>
      </w:r>
    </w:p>
    <w:p w:rsidR="00D93819" w:rsidRDefault="00D93819" w:rsidP="00BA0975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D93819" w:rsidRDefault="003C1843" w:rsidP="00BA0975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12.2019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7E1EB9" w:rsidRDefault="007E1EB9" w:rsidP="007E1EB9">
      <w:pPr>
        <w:rPr>
          <w:sz w:val="28"/>
          <w:szCs w:val="28"/>
        </w:rPr>
      </w:pPr>
    </w:p>
    <w:p w:rsidR="007E1EB9" w:rsidRPr="007E1EB9" w:rsidRDefault="007E1EB9" w:rsidP="007E1EB9">
      <w:pPr>
        <w:rPr>
          <w:lang w:val="en-US"/>
        </w:rPr>
      </w:pPr>
    </w:p>
    <w:p w:rsidR="007E1EB9" w:rsidRPr="00422304" w:rsidRDefault="007E1EB9" w:rsidP="007E1EB9">
      <w:pPr>
        <w:rPr>
          <w:rFonts w:ascii="Times New Roman" w:hAnsi="Times New Roman" w:cs="Times New Roman"/>
          <w:color w:val="00B0F0"/>
          <w:sz w:val="32"/>
          <w:szCs w:val="32"/>
          <w:lang w:val="en-US"/>
        </w:rPr>
      </w:pPr>
      <w:r w:rsidRPr="00422304">
        <w:rPr>
          <w:rFonts w:ascii="Times New Roman" w:hAnsi="Times New Roman" w:cs="Times New Roman"/>
          <w:color w:val="00B0F0"/>
          <w:sz w:val="32"/>
          <w:szCs w:val="32"/>
          <w:lang w:val="en-US"/>
        </w:rPr>
        <w:t>https://agroolkar.com.ua/ar/production/sprej-insektol/</w:t>
      </w:r>
      <w:bookmarkStart w:id="1" w:name="_GoBack"/>
      <w:bookmarkEnd w:id="1"/>
    </w:p>
    <w:p w:rsidR="007E1EB9" w:rsidRPr="007E1EB9" w:rsidRDefault="007E1EB9" w:rsidP="007E1EB9">
      <w:pPr>
        <w:rPr>
          <w:lang w:val="en-US"/>
        </w:rPr>
      </w:pPr>
    </w:p>
    <w:p w:rsidR="007E1EB9" w:rsidRPr="007E1EB9" w:rsidRDefault="007E1EB9" w:rsidP="007E1EB9">
      <w:pPr>
        <w:rPr>
          <w:lang w:val="en-US"/>
        </w:rPr>
      </w:pPr>
    </w:p>
    <w:p w:rsidR="007E1EB9" w:rsidRPr="007E1EB9" w:rsidRDefault="007E1EB9" w:rsidP="007E1EB9">
      <w:pPr>
        <w:rPr>
          <w:color w:val="00B0F0"/>
          <w:lang w:val="en-US"/>
        </w:rPr>
      </w:pPr>
    </w:p>
    <w:p w:rsidR="007E1EB9" w:rsidRDefault="007E1EB9" w:rsidP="007E1EB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drawing>
          <wp:inline distT="0" distB="0" distL="0" distR="0" wp14:anchorId="56843059" wp14:editId="283FAF29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16">
        <w:t xml:space="preserve"> </w:t>
      </w:r>
      <w:r>
        <w:drawing>
          <wp:inline distT="0" distB="0" distL="0" distR="0" wp14:anchorId="2E2F6FCB" wp14:editId="6CE0858D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7C706502" wp14:editId="7EE0086A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 wp14:anchorId="73AFD319" wp14:editId="3B426B61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16">
        <w:t xml:space="preserve"> </w:t>
      </w:r>
      <w:r>
        <w:drawing>
          <wp:inline distT="0" distB="0" distL="0" distR="0" wp14:anchorId="7E1E4778" wp14:editId="6AA8C1A0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line="276" w:lineRule="auto"/>
      </w:pPr>
    </w:p>
    <w:p w:rsidR="005F650E" w:rsidRDefault="005F650E" w:rsidP="00BA0975">
      <w:pPr>
        <w:spacing w:line="276" w:lineRule="auto"/>
      </w:pPr>
    </w:p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82838"/>
    <w:rsid w:val="00224E9F"/>
    <w:rsid w:val="002418C5"/>
    <w:rsid w:val="002A1C47"/>
    <w:rsid w:val="002B7832"/>
    <w:rsid w:val="002C3D60"/>
    <w:rsid w:val="002E79F9"/>
    <w:rsid w:val="003755C7"/>
    <w:rsid w:val="00390FD0"/>
    <w:rsid w:val="003C1843"/>
    <w:rsid w:val="003F092D"/>
    <w:rsid w:val="00422304"/>
    <w:rsid w:val="004A0B0C"/>
    <w:rsid w:val="004C454B"/>
    <w:rsid w:val="00504A86"/>
    <w:rsid w:val="00564F27"/>
    <w:rsid w:val="005F1105"/>
    <w:rsid w:val="005F650E"/>
    <w:rsid w:val="00615841"/>
    <w:rsid w:val="00624DCB"/>
    <w:rsid w:val="00654785"/>
    <w:rsid w:val="00782DBE"/>
    <w:rsid w:val="007A4970"/>
    <w:rsid w:val="007D1829"/>
    <w:rsid w:val="007E1EB9"/>
    <w:rsid w:val="008523C1"/>
    <w:rsid w:val="008C639E"/>
    <w:rsid w:val="00944378"/>
    <w:rsid w:val="009A039B"/>
    <w:rsid w:val="009A233F"/>
    <w:rsid w:val="00A17F39"/>
    <w:rsid w:val="00A40486"/>
    <w:rsid w:val="00AE6B90"/>
    <w:rsid w:val="00B33597"/>
    <w:rsid w:val="00B4456C"/>
    <w:rsid w:val="00BA0975"/>
    <w:rsid w:val="00BA4248"/>
    <w:rsid w:val="00BB5863"/>
    <w:rsid w:val="00BB7F4B"/>
    <w:rsid w:val="00BE1AB3"/>
    <w:rsid w:val="00C66A73"/>
    <w:rsid w:val="00C66E1F"/>
    <w:rsid w:val="00D047FB"/>
    <w:rsid w:val="00D92C9A"/>
    <w:rsid w:val="00D93819"/>
    <w:rsid w:val="00DE53AA"/>
    <w:rsid w:val="00E240CC"/>
    <w:rsid w:val="00EB06A5"/>
    <w:rsid w:val="00F47020"/>
    <w:rsid w:val="00FC50B1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3DE75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0373e324b39">
    <w:name w:val="Б11а30з37о3eв32ы4bй39"/>
    <w:rsid w:val="003F0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val="uk-UA" w:eastAsia="zh-CN" w:bidi="hi-IN"/>
    </w:rPr>
  </w:style>
  <w:style w:type="character" w:styleId="a5">
    <w:name w:val="Hyperlink"/>
    <w:basedOn w:val="a0"/>
    <w:uiPriority w:val="99"/>
    <w:unhideWhenUsed/>
    <w:rsid w:val="007E1E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4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2021-01-29T11:41:00Z</dcterms:created>
  <dcterms:modified xsi:type="dcterms:W3CDTF">2025-02-27T09:58:00Z</dcterms:modified>
</cp:coreProperties>
</file>