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F13" w:rsidRDefault="00AF7FA0">
      <w:pPr>
        <w:pStyle w:val="Style3"/>
        <w:numPr>
          <w:ilvl w:val="0"/>
          <w:numId w:val="0"/>
        </w:numPr>
        <w:rPr>
          <w:sz w:val="24"/>
          <w:szCs w:val="24"/>
        </w:rPr>
      </w:pPr>
      <w:r>
        <w:rPr>
          <w:sz w:val="24"/>
          <w:szCs w:val="24"/>
        </w:rPr>
        <w:t>PROSPECTUL</w:t>
      </w:r>
    </w:p>
    <w:p w:rsidR="00AC3F13" w:rsidRDefault="00AC3F13">
      <w:pPr>
        <w:tabs>
          <w:tab w:val="clear" w:pos="567"/>
        </w:tabs>
        <w:spacing w:line="240" w:lineRule="auto"/>
        <w:jc w:val="both"/>
        <w:rPr>
          <w:sz w:val="24"/>
          <w:szCs w:val="24"/>
        </w:rPr>
      </w:pPr>
    </w:p>
    <w:p w:rsidR="00AC3F13" w:rsidRDefault="00AF7FA0">
      <w:pPr>
        <w:pStyle w:val="Style1"/>
        <w:jc w:val="both"/>
        <w:rPr>
          <w:sz w:val="24"/>
          <w:szCs w:val="24"/>
        </w:rPr>
      </w:pPr>
      <w:r>
        <w:rPr>
          <w:sz w:val="24"/>
          <w:szCs w:val="24"/>
        </w:rPr>
        <w:t>1.</w:t>
      </w:r>
      <w:r>
        <w:rPr>
          <w:sz w:val="24"/>
          <w:szCs w:val="24"/>
        </w:rPr>
        <w:tab/>
        <w:t>Denumirea medicamentului de uz veterinar</w:t>
      </w:r>
    </w:p>
    <w:p w:rsidR="00AC3F13" w:rsidRDefault="00AC3F13">
      <w:pPr>
        <w:tabs>
          <w:tab w:val="clear" w:pos="567"/>
        </w:tabs>
        <w:spacing w:line="240" w:lineRule="auto"/>
        <w:jc w:val="both"/>
        <w:rPr>
          <w:sz w:val="24"/>
          <w:szCs w:val="24"/>
        </w:rPr>
      </w:pPr>
    </w:p>
    <w:p w:rsidR="00AC3F13" w:rsidRDefault="00AF7FA0">
      <w:pPr>
        <w:pStyle w:val="Style1"/>
        <w:rPr>
          <w:sz w:val="24"/>
          <w:szCs w:val="24"/>
        </w:rPr>
      </w:pPr>
      <w:r>
        <w:rPr>
          <w:sz w:val="24"/>
          <w:szCs w:val="24"/>
        </w:rPr>
        <w:tab/>
      </w:r>
      <w:r>
        <w:rPr>
          <w:sz w:val="24"/>
          <w:szCs w:val="24"/>
        </w:rPr>
        <w:tab/>
      </w:r>
      <w:r>
        <w:rPr>
          <w:sz w:val="24"/>
          <w:szCs w:val="24"/>
        </w:rPr>
        <w:tab/>
        <w:t xml:space="preserve">          BRO</w:t>
      </w:r>
      <w:r w:rsidR="00D07CD2">
        <w:rPr>
          <w:sz w:val="24"/>
          <w:szCs w:val="24"/>
        </w:rPr>
        <w:t xml:space="preserve">MENGHIL </w:t>
      </w:r>
      <w:r>
        <w:rPr>
          <w:sz w:val="24"/>
          <w:szCs w:val="24"/>
        </w:rPr>
        <w:t>soluție perorală</w:t>
      </w:r>
    </w:p>
    <w:p w:rsidR="00AC3F13" w:rsidRDefault="00AC3F13">
      <w:pPr>
        <w:pStyle w:val="Style1"/>
        <w:jc w:val="both"/>
        <w:rPr>
          <w:sz w:val="24"/>
          <w:szCs w:val="24"/>
          <w:highlight w:val="lightGray"/>
        </w:rPr>
      </w:pPr>
    </w:p>
    <w:p w:rsidR="00AC3F13" w:rsidRDefault="00AF7FA0">
      <w:pPr>
        <w:pStyle w:val="Style1"/>
        <w:jc w:val="both"/>
        <w:rPr>
          <w:sz w:val="24"/>
          <w:szCs w:val="24"/>
        </w:rPr>
      </w:pPr>
      <w:r>
        <w:rPr>
          <w:sz w:val="24"/>
          <w:szCs w:val="24"/>
        </w:rPr>
        <w:t>2.</w:t>
      </w:r>
      <w:r>
        <w:rPr>
          <w:sz w:val="24"/>
          <w:szCs w:val="24"/>
        </w:rPr>
        <w:tab/>
        <w:t>Compoziție</w:t>
      </w:r>
    </w:p>
    <w:p w:rsidR="00AC3F13" w:rsidRDefault="00AF7FA0">
      <w:pPr>
        <w:pStyle w:val="a8"/>
        <w:ind w:firstLine="567"/>
        <w:rPr>
          <w:rFonts w:ascii="Times New Roman" w:hAnsi="Times New Roman"/>
          <w:sz w:val="24"/>
          <w:szCs w:val="24"/>
          <w:lang w:val="ro-RO"/>
        </w:rPr>
      </w:pPr>
      <w:r>
        <w:rPr>
          <w:rFonts w:ascii="Times New Roman" w:hAnsi="Times New Roman"/>
          <w:b/>
          <w:sz w:val="24"/>
          <w:szCs w:val="24"/>
          <w:lang w:val="ro-RO"/>
        </w:rPr>
        <w:t>1 ml de preparat conține, mg</w:t>
      </w:r>
      <w:r>
        <w:rPr>
          <w:rFonts w:ascii="Times New Roman" w:hAnsi="Times New Roman"/>
          <w:sz w:val="24"/>
          <w:szCs w:val="24"/>
          <w:lang w:val="ro-RO"/>
        </w:rPr>
        <w:t xml:space="preserve">: </w:t>
      </w:r>
    </w:p>
    <w:p w:rsidR="00AC3F13" w:rsidRDefault="00AF7FA0">
      <w:pPr>
        <w:pStyle w:val="a8"/>
        <w:ind w:left="567"/>
        <w:rPr>
          <w:rFonts w:ascii="Times New Roman" w:hAnsi="Times New Roman"/>
          <w:sz w:val="24"/>
          <w:szCs w:val="24"/>
          <w:lang w:val="ro-RO"/>
        </w:rPr>
      </w:pPr>
      <w:r>
        <w:rPr>
          <w:rFonts w:ascii="Times New Roman" w:hAnsi="Times New Roman"/>
          <w:sz w:val="24"/>
          <w:szCs w:val="24"/>
          <w:lang w:val="ro-RO"/>
        </w:rPr>
        <w:t>Clorhidrat de bromhexină – 20,0;</w:t>
      </w:r>
    </w:p>
    <w:p w:rsidR="00AC3F13" w:rsidRDefault="00AF7FA0">
      <w:pPr>
        <w:pStyle w:val="a8"/>
        <w:ind w:left="567"/>
        <w:rPr>
          <w:rFonts w:ascii="Times New Roman" w:hAnsi="Times New Roman"/>
          <w:sz w:val="24"/>
          <w:szCs w:val="24"/>
          <w:lang w:val="ro-RO"/>
        </w:rPr>
      </w:pPr>
      <w:r>
        <w:rPr>
          <w:rFonts w:ascii="Times New Roman" w:hAnsi="Times New Roman"/>
          <w:sz w:val="24"/>
          <w:szCs w:val="24"/>
          <w:lang w:val="ro-RO"/>
        </w:rPr>
        <w:t>Mentol – 8,0.</w:t>
      </w:r>
    </w:p>
    <w:p w:rsidR="00AC3F13" w:rsidRDefault="00AF7FA0">
      <w:pPr>
        <w:pStyle w:val="a8"/>
        <w:ind w:left="567"/>
        <w:rPr>
          <w:rFonts w:ascii="Times New Roman" w:hAnsi="Times New Roman"/>
          <w:sz w:val="24"/>
          <w:szCs w:val="24"/>
          <w:lang w:val="ro-RO"/>
        </w:rPr>
      </w:pPr>
      <w:r>
        <w:rPr>
          <w:rFonts w:ascii="Times New Roman" w:hAnsi="Times New Roman"/>
          <w:sz w:val="24"/>
          <w:szCs w:val="24"/>
          <w:lang w:val="ro-RO"/>
        </w:rPr>
        <w:t>Excipienți: alcool benzilic, alcool butilic, acid fosforic, propilen glicol</w:t>
      </w:r>
      <w:r w:rsidR="00D07CD2">
        <w:rPr>
          <w:rFonts w:ascii="Times New Roman" w:hAnsi="Times New Roman"/>
          <w:sz w:val="24"/>
          <w:szCs w:val="24"/>
          <w:lang w:val="ro-RO"/>
        </w:rPr>
        <w:t>.</w:t>
      </w:r>
    </w:p>
    <w:p w:rsidR="00AC3F13" w:rsidRDefault="00AC3F13">
      <w:pPr>
        <w:pStyle w:val="a8"/>
        <w:ind w:left="567"/>
        <w:rPr>
          <w:rFonts w:ascii="Times New Roman" w:hAnsi="Times New Roman"/>
          <w:sz w:val="24"/>
          <w:szCs w:val="24"/>
          <w:lang w:val="ro-RO"/>
        </w:rPr>
      </w:pPr>
    </w:p>
    <w:p w:rsidR="00AC3F13" w:rsidRDefault="00AF7FA0">
      <w:pPr>
        <w:pStyle w:val="Style1"/>
        <w:jc w:val="both"/>
        <w:rPr>
          <w:sz w:val="24"/>
          <w:szCs w:val="24"/>
        </w:rPr>
      </w:pPr>
      <w:r>
        <w:rPr>
          <w:sz w:val="24"/>
          <w:szCs w:val="24"/>
        </w:rPr>
        <w:t>3.</w:t>
      </w:r>
      <w:r>
        <w:rPr>
          <w:sz w:val="24"/>
          <w:szCs w:val="24"/>
        </w:rPr>
        <w:tab/>
        <w:t>Specii țintă</w:t>
      </w:r>
    </w:p>
    <w:p w:rsidR="00AC3F13" w:rsidRDefault="00AF7FA0">
      <w:pPr>
        <w:pStyle w:val="a8"/>
        <w:ind w:firstLine="567"/>
        <w:rPr>
          <w:rFonts w:ascii="Times New Roman" w:hAnsi="Times New Roman"/>
          <w:sz w:val="24"/>
          <w:szCs w:val="24"/>
          <w:lang w:val="ro-RO"/>
        </w:rPr>
      </w:pPr>
      <w:r>
        <w:rPr>
          <w:rFonts w:ascii="Times New Roman" w:hAnsi="Times New Roman"/>
          <w:sz w:val="24"/>
          <w:szCs w:val="24"/>
          <w:lang w:val="ro-RO"/>
        </w:rPr>
        <w:t>Păsări domestice (pui de carne și păsări de curte de înlocuire).</w:t>
      </w:r>
    </w:p>
    <w:p w:rsidR="00AC3F13" w:rsidRDefault="00AC3F13">
      <w:pPr>
        <w:tabs>
          <w:tab w:val="clear" w:pos="567"/>
        </w:tabs>
        <w:spacing w:line="240" w:lineRule="auto"/>
        <w:ind w:firstLine="567"/>
        <w:jc w:val="both"/>
        <w:rPr>
          <w:sz w:val="24"/>
          <w:szCs w:val="24"/>
        </w:rPr>
      </w:pPr>
    </w:p>
    <w:p w:rsidR="00AC3F13" w:rsidRDefault="00AF7FA0">
      <w:pPr>
        <w:pStyle w:val="Style1"/>
        <w:jc w:val="both"/>
        <w:rPr>
          <w:sz w:val="24"/>
          <w:szCs w:val="24"/>
        </w:rPr>
      </w:pPr>
      <w:r>
        <w:rPr>
          <w:sz w:val="24"/>
          <w:szCs w:val="24"/>
        </w:rPr>
        <w:t>4.</w:t>
      </w:r>
      <w:r>
        <w:rPr>
          <w:sz w:val="24"/>
          <w:szCs w:val="24"/>
        </w:rPr>
        <w:tab/>
        <w:t>Indicații de utilizare</w:t>
      </w:r>
    </w:p>
    <w:p w:rsidR="00AC3F13" w:rsidRDefault="00AF7FA0">
      <w:pPr>
        <w:pStyle w:val="a8"/>
        <w:ind w:left="567"/>
        <w:rPr>
          <w:rFonts w:ascii="Times New Roman" w:hAnsi="Times New Roman"/>
          <w:sz w:val="24"/>
          <w:szCs w:val="24"/>
          <w:lang w:val="fr-CA"/>
        </w:rPr>
      </w:pPr>
      <w:r>
        <w:rPr>
          <w:rFonts w:ascii="Times New Roman" w:hAnsi="Times New Roman"/>
          <w:sz w:val="24"/>
          <w:szCs w:val="24"/>
          <w:lang w:val="fr-CA"/>
        </w:rPr>
        <w:t>Tratamentul (într-un complex de măsuri terapeutice) puilor de carne și păsărilor de curte de înlocuire pentru boli respiratorii de diverse etiologii cauzate de bacterii și viruși, însoțite de secreție crescută de mucus și dificultăți respiratorii.</w:t>
      </w:r>
    </w:p>
    <w:p w:rsidR="00AC3F13" w:rsidRDefault="00AC3F13">
      <w:pPr>
        <w:pStyle w:val="a8"/>
        <w:ind w:left="567"/>
        <w:rPr>
          <w:rFonts w:ascii="Times New Roman" w:hAnsi="Times New Roman"/>
          <w:sz w:val="24"/>
          <w:szCs w:val="24"/>
          <w:lang w:val="fr-CA"/>
        </w:rPr>
      </w:pPr>
    </w:p>
    <w:p w:rsidR="00AC3F13" w:rsidRDefault="00AF7FA0">
      <w:pPr>
        <w:pStyle w:val="a8"/>
        <w:rPr>
          <w:sz w:val="24"/>
          <w:szCs w:val="24"/>
          <w:lang w:val="fr-CA"/>
        </w:rPr>
      </w:pPr>
      <w:r>
        <w:rPr>
          <w:b/>
          <w:sz w:val="24"/>
          <w:szCs w:val="24"/>
          <w:lang w:val="fr-CA"/>
        </w:rPr>
        <w:t>5.</w:t>
      </w:r>
      <w:r>
        <w:rPr>
          <w:sz w:val="24"/>
          <w:szCs w:val="24"/>
          <w:lang w:val="fr-CA"/>
        </w:rPr>
        <w:t xml:space="preserve">     </w:t>
      </w:r>
      <w:r>
        <w:rPr>
          <w:rFonts w:ascii="Times New Roman" w:hAnsi="Times New Roman"/>
          <w:b/>
          <w:sz w:val="24"/>
          <w:szCs w:val="24"/>
          <w:lang w:val="ro-RO" w:bidi="ar-SA"/>
        </w:rPr>
        <w:t xml:space="preserve"> Contraindicații</w:t>
      </w:r>
    </w:p>
    <w:p w:rsidR="00AC3F13" w:rsidRDefault="00AF7FA0">
      <w:pPr>
        <w:pStyle w:val="a8"/>
        <w:ind w:left="567"/>
        <w:rPr>
          <w:rFonts w:ascii="Times New Roman" w:hAnsi="Times New Roman"/>
          <w:sz w:val="24"/>
          <w:szCs w:val="24"/>
          <w:lang w:val="ro-RO"/>
        </w:rPr>
      </w:pPr>
      <w:r>
        <w:rPr>
          <w:rFonts w:ascii="Times New Roman" w:hAnsi="Times New Roman"/>
          <w:sz w:val="24"/>
          <w:szCs w:val="24"/>
          <w:lang w:val="fr-CA"/>
        </w:rPr>
        <w:t>A nu se utiliza la păsările cu hipersensibilitate la componentele medicamentului</w:t>
      </w:r>
      <w:r>
        <w:rPr>
          <w:rFonts w:ascii="Times New Roman" w:hAnsi="Times New Roman"/>
          <w:sz w:val="24"/>
          <w:szCs w:val="24"/>
          <w:lang w:val="ro-RO"/>
        </w:rPr>
        <w:t>.</w:t>
      </w:r>
    </w:p>
    <w:p w:rsidR="00AC3F13" w:rsidRDefault="00AC3F13">
      <w:pPr>
        <w:pStyle w:val="a8"/>
        <w:ind w:left="567"/>
        <w:rPr>
          <w:rFonts w:ascii="Times New Roman" w:hAnsi="Times New Roman"/>
          <w:sz w:val="24"/>
          <w:szCs w:val="24"/>
          <w:lang w:val="ro-RO"/>
        </w:rPr>
      </w:pPr>
    </w:p>
    <w:p w:rsidR="00AC3F13" w:rsidRDefault="00AF7FA0">
      <w:pPr>
        <w:pStyle w:val="Style1"/>
        <w:jc w:val="both"/>
        <w:rPr>
          <w:sz w:val="24"/>
          <w:szCs w:val="24"/>
        </w:rPr>
      </w:pPr>
      <w:r>
        <w:rPr>
          <w:sz w:val="24"/>
          <w:szCs w:val="24"/>
        </w:rPr>
        <w:t>6.</w:t>
      </w:r>
      <w:r>
        <w:rPr>
          <w:sz w:val="24"/>
          <w:szCs w:val="24"/>
        </w:rPr>
        <w:tab/>
        <w:t>Atenționări speciale</w:t>
      </w:r>
    </w:p>
    <w:p w:rsidR="00AC3F13" w:rsidRDefault="00AF7FA0">
      <w:pPr>
        <w:pStyle w:val="a8"/>
        <w:ind w:left="567"/>
        <w:rPr>
          <w:rFonts w:ascii="Times New Roman" w:hAnsi="Times New Roman"/>
          <w:sz w:val="24"/>
          <w:szCs w:val="24"/>
          <w:lang w:val="fr-CA"/>
        </w:rPr>
      </w:pPr>
      <w:r>
        <w:rPr>
          <w:rFonts w:ascii="Times New Roman" w:hAnsi="Times New Roman"/>
          <w:sz w:val="24"/>
          <w:szCs w:val="24"/>
          <w:lang w:val="fr-CA"/>
        </w:rPr>
        <w:t>Se recomandă respectarea dozei și modului de utilizare conform prospectului. La fiecare 24 de ore este necesar să se pregătească o soluție proaspătă de medicament.</w:t>
      </w:r>
    </w:p>
    <w:p w:rsidR="00AC3F13" w:rsidRDefault="00AC3F13">
      <w:pPr>
        <w:pStyle w:val="a8"/>
        <w:ind w:left="567"/>
        <w:rPr>
          <w:rFonts w:ascii="Times New Roman" w:hAnsi="Times New Roman"/>
          <w:sz w:val="24"/>
          <w:szCs w:val="24"/>
          <w:lang w:val="fr-CA"/>
        </w:rPr>
      </w:pPr>
    </w:p>
    <w:p w:rsidR="00AC3F13" w:rsidRDefault="00AF7FA0">
      <w:pPr>
        <w:tabs>
          <w:tab w:val="clear" w:pos="567"/>
        </w:tabs>
        <w:spacing w:line="240" w:lineRule="auto"/>
        <w:ind w:firstLine="567"/>
        <w:jc w:val="both"/>
        <w:rPr>
          <w:b/>
          <w:sz w:val="24"/>
          <w:szCs w:val="24"/>
        </w:rPr>
      </w:pPr>
      <w:r>
        <w:rPr>
          <w:b/>
          <w:sz w:val="24"/>
          <w:szCs w:val="24"/>
          <w:u w:val="single"/>
        </w:rPr>
        <w:t>Alte precauții</w:t>
      </w:r>
      <w:r>
        <w:rPr>
          <w:b/>
          <w:sz w:val="24"/>
          <w:szCs w:val="24"/>
        </w:rPr>
        <w:t>:</w:t>
      </w:r>
    </w:p>
    <w:p w:rsidR="00AC3F13" w:rsidRDefault="00AF7FA0">
      <w:pPr>
        <w:pStyle w:val="a8"/>
        <w:ind w:left="567"/>
        <w:rPr>
          <w:rFonts w:ascii="Times New Roman" w:hAnsi="Times New Roman"/>
          <w:sz w:val="24"/>
          <w:szCs w:val="24"/>
          <w:lang w:val="ro-RO"/>
        </w:rPr>
      </w:pPr>
      <w:r>
        <w:rPr>
          <w:rFonts w:ascii="Times New Roman" w:hAnsi="Times New Roman"/>
          <w:sz w:val="24"/>
          <w:szCs w:val="24"/>
          <w:lang w:val="ro-RO"/>
        </w:rPr>
        <w:t>Nu sunt identificate.</w:t>
      </w:r>
    </w:p>
    <w:p w:rsidR="00AC3F13" w:rsidRDefault="00AC3F13">
      <w:pPr>
        <w:pStyle w:val="Style1"/>
        <w:jc w:val="both"/>
        <w:rPr>
          <w:b w:val="0"/>
          <w:sz w:val="24"/>
          <w:szCs w:val="24"/>
          <w:lang w:bidi="en-US"/>
        </w:rPr>
      </w:pPr>
    </w:p>
    <w:p w:rsidR="00AC3F13" w:rsidRDefault="00AF7FA0">
      <w:pPr>
        <w:jc w:val="both"/>
        <w:rPr>
          <w:b/>
          <w:sz w:val="24"/>
          <w:szCs w:val="24"/>
        </w:rPr>
      </w:pPr>
      <w:r>
        <w:rPr>
          <w:b/>
          <w:sz w:val="24"/>
          <w:szCs w:val="24"/>
        </w:rPr>
        <w:t>7.</w:t>
      </w:r>
      <w:r>
        <w:rPr>
          <w:b/>
          <w:sz w:val="24"/>
          <w:szCs w:val="24"/>
        </w:rPr>
        <w:tab/>
        <w:t>Evenimente adverse</w:t>
      </w:r>
    </w:p>
    <w:p w:rsidR="00AC3F13" w:rsidRDefault="00AF7FA0">
      <w:pPr>
        <w:pStyle w:val="a8"/>
        <w:ind w:left="567"/>
        <w:rPr>
          <w:rFonts w:ascii="Times New Roman" w:hAnsi="Times New Roman"/>
          <w:sz w:val="24"/>
          <w:szCs w:val="24"/>
          <w:lang w:val="ro-RO"/>
        </w:rPr>
      </w:pPr>
      <w:r>
        <w:rPr>
          <w:rFonts w:ascii="Times New Roman" w:hAnsi="Times New Roman"/>
          <w:sz w:val="24"/>
          <w:szCs w:val="24"/>
          <w:lang w:val="ro-RO"/>
        </w:rPr>
        <w:t>Nu au fost observate reacții adverse sau complicații la utilizarea medicamentului în dozele recomandate. În unele cazuri, sunt posibile dispepsie, tuse crescută și bronhospasm.</w:t>
      </w:r>
    </w:p>
    <w:p w:rsidR="00AC3F13" w:rsidRDefault="00AC3F13">
      <w:pPr>
        <w:pStyle w:val="a8"/>
        <w:ind w:left="567"/>
        <w:rPr>
          <w:rFonts w:ascii="Times New Roman" w:hAnsi="Times New Roman"/>
          <w:sz w:val="24"/>
          <w:szCs w:val="24"/>
          <w:lang w:val="ro-RO"/>
        </w:rPr>
      </w:pPr>
    </w:p>
    <w:p w:rsidR="00AC3F13" w:rsidRDefault="00AF7FA0">
      <w:pPr>
        <w:pStyle w:val="Style1"/>
        <w:jc w:val="both"/>
        <w:rPr>
          <w:sz w:val="24"/>
          <w:szCs w:val="24"/>
        </w:rPr>
      </w:pPr>
      <w:r>
        <w:rPr>
          <w:sz w:val="24"/>
          <w:szCs w:val="24"/>
        </w:rPr>
        <w:t>8.</w:t>
      </w:r>
      <w:r>
        <w:rPr>
          <w:sz w:val="24"/>
          <w:szCs w:val="24"/>
        </w:rPr>
        <w:tab/>
        <w:t>Doze pentru fiecare specie, căi de administrare și metode de administrare</w:t>
      </w:r>
    </w:p>
    <w:p w:rsidR="00AC3F13" w:rsidRDefault="00AF7FA0">
      <w:pPr>
        <w:pStyle w:val="Style1"/>
        <w:jc w:val="both"/>
        <w:rPr>
          <w:rStyle w:val="rynqvb"/>
          <w:b w:val="0"/>
          <w:sz w:val="24"/>
          <w:szCs w:val="24"/>
        </w:rPr>
      </w:pPr>
      <w:r>
        <w:rPr>
          <w:sz w:val="24"/>
          <w:szCs w:val="24"/>
        </w:rPr>
        <w:t xml:space="preserve">         </w:t>
      </w:r>
      <w:r>
        <w:rPr>
          <w:rStyle w:val="rynqvb"/>
          <w:b w:val="0"/>
          <w:sz w:val="24"/>
          <w:szCs w:val="24"/>
        </w:rPr>
        <w:t>Se administrează oral, cu apă de băut în  doză: 1 ml de medicament la 8 litri de apă de băut timp de 3-5 zile. Dacă este necesar, în bolile acute, doza de medicament poate fi dublată.</w:t>
      </w:r>
    </w:p>
    <w:p w:rsidR="00AC3F13" w:rsidRDefault="00AF7FA0">
      <w:pPr>
        <w:ind w:left="567"/>
        <w:jc w:val="both"/>
        <w:rPr>
          <w:rStyle w:val="rynqvb"/>
          <w:sz w:val="24"/>
          <w:szCs w:val="24"/>
        </w:rPr>
      </w:pPr>
      <w:r>
        <w:rPr>
          <w:rStyle w:val="rynqvb"/>
          <w:sz w:val="24"/>
          <w:szCs w:val="24"/>
        </w:rPr>
        <w:t xml:space="preserve">Soluția de lucru este preparată într-un raport de 1:40 (se adaugă o parte de medicament la 40 de părți de apă caldă de băut), amestecând. Soluția de lucru se adaugă imediat la cantitatea necesară de apă potabilă în conformitate cu standardele de alimentare cu apă pentru categoriile individuale de vârstă la păsări de curte. </w:t>
      </w:r>
    </w:p>
    <w:p w:rsidR="00AC3F13" w:rsidRDefault="00AF7FA0">
      <w:pPr>
        <w:ind w:left="567"/>
        <w:jc w:val="both"/>
        <w:rPr>
          <w:rStyle w:val="rynqvb"/>
          <w:sz w:val="24"/>
          <w:szCs w:val="24"/>
        </w:rPr>
      </w:pPr>
      <w:r>
        <w:rPr>
          <w:rStyle w:val="rynqvb"/>
          <w:sz w:val="24"/>
          <w:szCs w:val="24"/>
        </w:rPr>
        <w:t>În timpul perioadei de tratament, pasărea trebuie să primească o soluție apoasă cu medicamentul ca sursă principală de apă potabilă</w:t>
      </w:r>
    </w:p>
    <w:p w:rsidR="00AC3F13" w:rsidRDefault="00AC3F13">
      <w:pPr>
        <w:pStyle w:val="Style1"/>
        <w:jc w:val="both"/>
        <w:rPr>
          <w:sz w:val="24"/>
          <w:szCs w:val="24"/>
        </w:rPr>
      </w:pPr>
    </w:p>
    <w:p w:rsidR="00AC3F13" w:rsidRDefault="00AF7FA0">
      <w:pPr>
        <w:pStyle w:val="Style1"/>
        <w:jc w:val="both"/>
        <w:rPr>
          <w:sz w:val="24"/>
          <w:szCs w:val="24"/>
        </w:rPr>
      </w:pPr>
      <w:r>
        <w:rPr>
          <w:sz w:val="24"/>
          <w:szCs w:val="24"/>
        </w:rPr>
        <w:t>9.</w:t>
      </w:r>
      <w:r>
        <w:rPr>
          <w:sz w:val="24"/>
          <w:szCs w:val="24"/>
        </w:rPr>
        <w:tab/>
        <w:t>Recomandări privind administrarea corectă</w:t>
      </w:r>
    </w:p>
    <w:p w:rsidR="00AC3F13" w:rsidRDefault="00AF7FA0">
      <w:pPr>
        <w:ind w:left="567"/>
        <w:jc w:val="both"/>
        <w:rPr>
          <w:sz w:val="24"/>
          <w:szCs w:val="24"/>
        </w:rPr>
      </w:pPr>
      <w:r>
        <w:rPr>
          <w:sz w:val="24"/>
          <w:szCs w:val="24"/>
        </w:rPr>
        <w:t>A se administra preferabil de către un medic veterinar, conform indicațiilor prospectului.</w:t>
      </w:r>
    </w:p>
    <w:p w:rsidR="00AC3F13" w:rsidRDefault="00AC3F13">
      <w:pPr>
        <w:pStyle w:val="Normalold"/>
        <w:ind w:left="0" w:firstLine="0"/>
        <w:jc w:val="both"/>
        <w:rPr>
          <w:szCs w:val="22"/>
        </w:rPr>
      </w:pPr>
    </w:p>
    <w:p w:rsidR="00AC3F13" w:rsidRDefault="00AC3F13">
      <w:pPr>
        <w:ind w:left="567"/>
        <w:jc w:val="both"/>
        <w:rPr>
          <w:b/>
          <w:i/>
          <w:sz w:val="24"/>
          <w:szCs w:val="24"/>
          <w:u w:val="single"/>
        </w:rPr>
      </w:pPr>
    </w:p>
    <w:p w:rsidR="00AC3F13" w:rsidRPr="00D07CD2" w:rsidRDefault="00AF7FA0">
      <w:pPr>
        <w:ind w:left="567"/>
        <w:jc w:val="both"/>
        <w:rPr>
          <w:sz w:val="24"/>
          <w:szCs w:val="24"/>
          <w:u w:val="single"/>
        </w:rPr>
      </w:pPr>
      <w:r w:rsidRPr="00D07CD2">
        <w:rPr>
          <w:b/>
          <w:i/>
          <w:sz w:val="24"/>
          <w:szCs w:val="24"/>
          <w:u w:val="single"/>
        </w:rPr>
        <w:t>Precauții speciale care trebuie luate de persoana care administrează produsul medicinal veterinar la animale</w:t>
      </w:r>
      <w:r w:rsidRPr="00D07CD2">
        <w:rPr>
          <w:sz w:val="24"/>
          <w:szCs w:val="24"/>
          <w:u w:val="single"/>
        </w:rPr>
        <w:t>.</w:t>
      </w:r>
    </w:p>
    <w:p w:rsidR="00AC3F13" w:rsidRDefault="00AC3F13">
      <w:pPr>
        <w:ind w:left="567"/>
        <w:rPr>
          <w:sz w:val="24"/>
          <w:szCs w:val="24"/>
        </w:rPr>
      </w:pPr>
    </w:p>
    <w:p w:rsidR="00AC3F13" w:rsidRDefault="00AF7FA0">
      <w:pPr>
        <w:ind w:left="567"/>
        <w:rPr>
          <w:sz w:val="24"/>
          <w:szCs w:val="24"/>
        </w:rPr>
      </w:pPr>
      <w:r>
        <w:rPr>
          <w:sz w:val="24"/>
          <w:szCs w:val="24"/>
        </w:rPr>
        <w:lastRenderedPageBreak/>
        <w:t>Toate lucrările se efctuiază folosid mijloace individuale de protecție.</w:t>
      </w:r>
    </w:p>
    <w:p w:rsidR="00AC3F13" w:rsidRDefault="00AF7FA0">
      <w:pPr>
        <w:ind w:left="567"/>
        <w:rPr>
          <w:sz w:val="24"/>
          <w:szCs w:val="24"/>
        </w:rPr>
      </w:pPr>
      <w:r>
        <w:rPr>
          <w:sz w:val="24"/>
          <w:szCs w:val="24"/>
        </w:rPr>
        <w:t xml:space="preserve">În timpul lucrului se interzice consumul de băuturi și alimente, fumatul. </w:t>
      </w:r>
    </w:p>
    <w:p w:rsidR="00AC3F13" w:rsidRDefault="00AF7FA0">
      <w:pPr>
        <w:ind w:left="567"/>
        <w:rPr>
          <w:sz w:val="24"/>
          <w:szCs w:val="24"/>
        </w:rPr>
      </w:pPr>
      <w:r>
        <w:rPr>
          <w:sz w:val="24"/>
          <w:szCs w:val="24"/>
        </w:rPr>
        <w:t xml:space="preserve">În cazul contactului accidental al medicamentului cu pielea sau membranele mucoase, trebuie  să clătiți imediat cu un jet de apă curgătoare.  </w:t>
      </w:r>
    </w:p>
    <w:p w:rsidR="00AC3F13" w:rsidRDefault="00AC3F13">
      <w:pPr>
        <w:pStyle w:val="a8"/>
        <w:ind w:left="567"/>
        <w:rPr>
          <w:rFonts w:ascii="Times New Roman" w:hAnsi="Times New Roman"/>
          <w:sz w:val="24"/>
          <w:szCs w:val="24"/>
          <w:lang w:val="ro-RO"/>
        </w:rPr>
      </w:pPr>
    </w:p>
    <w:p w:rsidR="00AC3F13" w:rsidRDefault="00AF7FA0">
      <w:pPr>
        <w:pStyle w:val="Style1"/>
        <w:jc w:val="both"/>
        <w:rPr>
          <w:sz w:val="24"/>
          <w:szCs w:val="24"/>
        </w:rPr>
      </w:pPr>
      <w:r>
        <w:rPr>
          <w:sz w:val="24"/>
          <w:szCs w:val="24"/>
        </w:rPr>
        <w:t>10.</w:t>
      </w:r>
      <w:r>
        <w:rPr>
          <w:sz w:val="24"/>
          <w:szCs w:val="24"/>
        </w:rPr>
        <w:tab/>
        <w:t>Perioade de așteptare</w:t>
      </w:r>
    </w:p>
    <w:p w:rsidR="00AC3F13" w:rsidRDefault="00AF7FA0">
      <w:pPr>
        <w:pStyle w:val="a8"/>
        <w:ind w:left="567"/>
        <w:rPr>
          <w:rFonts w:ascii="Times New Roman" w:hAnsi="Times New Roman"/>
          <w:sz w:val="24"/>
          <w:szCs w:val="24"/>
          <w:lang w:val="ro-RO"/>
        </w:rPr>
      </w:pPr>
      <w:r>
        <w:rPr>
          <w:rFonts w:ascii="Times New Roman" w:hAnsi="Times New Roman"/>
          <w:sz w:val="24"/>
          <w:szCs w:val="24"/>
          <w:lang w:val="ro-RO"/>
        </w:rPr>
        <w:t>Pentru carne -</w:t>
      </w:r>
      <w:r w:rsidR="00D07CD2">
        <w:rPr>
          <w:rFonts w:ascii="Times New Roman" w:hAnsi="Times New Roman"/>
          <w:sz w:val="24"/>
          <w:szCs w:val="24"/>
          <w:lang w:val="ro-RO"/>
        </w:rPr>
        <w:t xml:space="preserve"> </w:t>
      </w:r>
      <w:r>
        <w:rPr>
          <w:rFonts w:ascii="Times New Roman" w:hAnsi="Times New Roman"/>
          <w:sz w:val="24"/>
          <w:szCs w:val="24"/>
          <w:lang w:val="ro-RO"/>
        </w:rPr>
        <w:t>0 zile.</w:t>
      </w:r>
    </w:p>
    <w:p w:rsidR="00AC3F13" w:rsidRDefault="00AC3F13">
      <w:pPr>
        <w:ind w:left="567"/>
        <w:jc w:val="both"/>
        <w:rPr>
          <w:rStyle w:val="rynqvb"/>
          <w:sz w:val="24"/>
          <w:szCs w:val="24"/>
        </w:rPr>
      </w:pPr>
    </w:p>
    <w:p w:rsidR="00AC3F13" w:rsidRDefault="00AF7FA0">
      <w:pPr>
        <w:pStyle w:val="Style1"/>
        <w:jc w:val="both"/>
        <w:rPr>
          <w:sz w:val="24"/>
          <w:szCs w:val="24"/>
        </w:rPr>
      </w:pPr>
      <w:r>
        <w:rPr>
          <w:sz w:val="24"/>
          <w:szCs w:val="24"/>
        </w:rPr>
        <w:t>11.</w:t>
      </w:r>
      <w:r>
        <w:rPr>
          <w:sz w:val="24"/>
          <w:szCs w:val="24"/>
        </w:rPr>
        <w:tab/>
        <w:t>Precauții speciale pentru depozitare</w:t>
      </w:r>
    </w:p>
    <w:p w:rsidR="00AC3F13" w:rsidRDefault="00AF7FA0">
      <w:pPr>
        <w:pStyle w:val="Style1"/>
        <w:jc w:val="both"/>
        <w:rPr>
          <w:b w:val="0"/>
          <w:sz w:val="24"/>
          <w:szCs w:val="24"/>
        </w:rPr>
      </w:pPr>
      <w:r>
        <w:rPr>
          <w:sz w:val="24"/>
          <w:szCs w:val="24"/>
        </w:rPr>
        <w:tab/>
      </w:r>
      <w:r>
        <w:rPr>
          <w:b w:val="0"/>
          <w:sz w:val="24"/>
          <w:szCs w:val="24"/>
        </w:rPr>
        <w:t>A se păstra la temperatură de la +5°C la + 25°C.</w:t>
      </w:r>
    </w:p>
    <w:p w:rsidR="00AC3F13" w:rsidRDefault="00AF7FA0">
      <w:pPr>
        <w:tabs>
          <w:tab w:val="clear" w:pos="567"/>
        </w:tabs>
        <w:spacing w:line="240" w:lineRule="auto"/>
        <w:ind w:firstLine="567"/>
        <w:jc w:val="both"/>
        <w:rPr>
          <w:sz w:val="24"/>
          <w:szCs w:val="24"/>
        </w:rPr>
      </w:pPr>
      <w:r>
        <w:rPr>
          <w:sz w:val="24"/>
          <w:szCs w:val="24"/>
        </w:rPr>
        <w:t>A se păstra în loc uscat, feri de lumină.</w:t>
      </w:r>
    </w:p>
    <w:p w:rsidR="00AC3F13" w:rsidRDefault="00AF7FA0">
      <w:pPr>
        <w:pStyle w:val="Style1"/>
        <w:jc w:val="both"/>
      </w:pPr>
      <w:r>
        <w:t xml:space="preserve">        </w:t>
      </w:r>
    </w:p>
    <w:p w:rsidR="00AC3F13" w:rsidRDefault="00AF7FA0">
      <w:pPr>
        <w:pStyle w:val="Style1"/>
        <w:jc w:val="both"/>
      </w:pPr>
      <w:r>
        <w:tab/>
        <w:t>Termen de valabilitate:</w:t>
      </w:r>
    </w:p>
    <w:p w:rsidR="00AC3F13" w:rsidRDefault="00AF7FA0">
      <w:pPr>
        <w:numPr>
          <w:ilvl w:val="12"/>
          <w:numId w:val="0"/>
        </w:numPr>
        <w:tabs>
          <w:tab w:val="clear" w:pos="567"/>
        </w:tabs>
        <w:spacing w:line="240" w:lineRule="auto"/>
        <w:ind w:left="567"/>
        <w:jc w:val="both"/>
        <w:rPr>
          <w:sz w:val="24"/>
          <w:szCs w:val="24"/>
        </w:rPr>
      </w:pPr>
      <w:r>
        <w:rPr>
          <w:sz w:val="24"/>
          <w:szCs w:val="24"/>
        </w:rPr>
        <w:t>Perioada de valabilitate a preparatului în ambalajul producătorului: 24 luni.</w:t>
      </w:r>
    </w:p>
    <w:p w:rsidR="00AC3F13" w:rsidRDefault="00AF7FA0">
      <w:pPr>
        <w:numPr>
          <w:ilvl w:val="12"/>
          <w:numId w:val="0"/>
        </w:numPr>
        <w:tabs>
          <w:tab w:val="clear" w:pos="567"/>
        </w:tabs>
        <w:spacing w:line="240" w:lineRule="auto"/>
        <w:ind w:left="567"/>
        <w:jc w:val="both"/>
        <w:rPr>
          <w:sz w:val="24"/>
          <w:szCs w:val="24"/>
        </w:rPr>
      </w:pPr>
      <w:r>
        <w:rPr>
          <w:sz w:val="24"/>
          <w:szCs w:val="24"/>
        </w:rPr>
        <w:t xml:space="preserve">Perioada de valabilitate după prima deschidere a recipientului este </w:t>
      </w:r>
      <w:r w:rsidR="00A04221">
        <w:rPr>
          <w:sz w:val="24"/>
          <w:szCs w:val="24"/>
        </w:rPr>
        <w:t>de 14 zile</w:t>
      </w:r>
      <w:bookmarkStart w:id="0" w:name="_GoBack"/>
      <w:bookmarkEnd w:id="0"/>
      <w:r>
        <w:rPr>
          <w:sz w:val="24"/>
          <w:szCs w:val="24"/>
        </w:rPr>
        <w:t>.</w:t>
      </w:r>
    </w:p>
    <w:p w:rsidR="00AC3F13" w:rsidRDefault="00AF7FA0">
      <w:pPr>
        <w:pStyle w:val="Style1"/>
        <w:jc w:val="both"/>
        <w:rPr>
          <w:sz w:val="24"/>
          <w:szCs w:val="24"/>
        </w:rPr>
      </w:pPr>
      <w:r>
        <w:rPr>
          <w:sz w:val="24"/>
          <w:szCs w:val="24"/>
        </w:rPr>
        <w:t xml:space="preserve">         </w:t>
      </w:r>
    </w:p>
    <w:p w:rsidR="00AC3F13" w:rsidRDefault="00AF7FA0">
      <w:pPr>
        <w:pStyle w:val="Style1"/>
        <w:jc w:val="both"/>
      </w:pPr>
      <w:r>
        <w:rPr>
          <w:sz w:val="24"/>
          <w:szCs w:val="24"/>
        </w:rPr>
        <w:tab/>
        <w:t>Natura și compoziția ambalajului primar</w:t>
      </w:r>
    </w:p>
    <w:p w:rsidR="00AC3F13" w:rsidRDefault="00AF7FA0">
      <w:pPr>
        <w:tabs>
          <w:tab w:val="clear" w:pos="567"/>
        </w:tabs>
        <w:spacing w:line="240" w:lineRule="auto"/>
        <w:ind w:firstLine="567"/>
        <w:jc w:val="both"/>
        <w:rPr>
          <w:sz w:val="24"/>
          <w:szCs w:val="24"/>
        </w:rPr>
      </w:pPr>
      <w:r>
        <w:rPr>
          <w:sz w:val="24"/>
          <w:szCs w:val="24"/>
        </w:rPr>
        <w:t>Fiole de sticlă neutră de 0,5 și 1,0 ml.</w:t>
      </w:r>
    </w:p>
    <w:p w:rsidR="00AC3F13" w:rsidRDefault="00AF7FA0">
      <w:pPr>
        <w:tabs>
          <w:tab w:val="clear" w:pos="567"/>
        </w:tabs>
        <w:spacing w:line="240" w:lineRule="auto"/>
        <w:ind w:firstLine="567"/>
        <w:jc w:val="both"/>
        <w:rPr>
          <w:sz w:val="24"/>
          <w:szCs w:val="24"/>
        </w:rPr>
      </w:pPr>
      <w:r>
        <w:rPr>
          <w:sz w:val="24"/>
          <w:szCs w:val="24"/>
        </w:rPr>
        <w:t>Sticlă neutră marca NS-1, NS-2, USP-1, închise cu dop de cauciuc pentru rulare</w:t>
      </w:r>
      <w:r>
        <w:rPr>
          <w:sz w:val="24"/>
          <w:szCs w:val="24"/>
        </w:rPr>
        <w:br/>
        <w:t xml:space="preserve">         din aluminiu a cîte 50 si 100 ml. Sticle din polimer (canistre) de 1litru  și 5 litri.</w:t>
      </w:r>
    </w:p>
    <w:p w:rsidR="00AC3F13" w:rsidRDefault="00AC3F13">
      <w:pPr>
        <w:tabs>
          <w:tab w:val="clear" w:pos="567"/>
        </w:tabs>
        <w:spacing w:line="240" w:lineRule="auto"/>
        <w:ind w:firstLine="567"/>
        <w:jc w:val="both"/>
        <w:rPr>
          <w:sz w:val="24"/>
          <w:szCs w:val="24"/>
        </w:rPr>
      </w:pPr>
    </w:p>
    <w:p w:rsidR="00AC3F13" w:rsidRDefault="00AF7FA0">
      <w:pPr>
        <w:pStyle w:val="Style1"/>
        <w:jc w:val="both"/>
        <w:rPr>
          <w:sz w:val="24"/>
          <w:szCs w:val="24"/>
        </w:rPr>
      </w:pPr>
      <w:r>
        <w:rPr>
          <w:sz w:val="24"/>
          <w:szCs w:val="24"/>
        </w:rPr>
        <w:t>12.</w:t>
      </w:r>
      <w:r>
        <w:rPr>
          <w:sz w:val="24"/>
          <w:szCs w:val="24"/>
        </w:rPr>
        <w:tab/>
        <w:t>Precauții speciale pentru eliminare</w:t>
      </w:r>
    </w:p>
    <w:p w:rsidR="00AC3F13" w:rsidRDefault="00AF7FA0">
      <w:pPr>
        <w:tabs>
          <w:tab w:val="clear" w:pos="567"/>
        </w:tabs>
        <w:spacing w:line="240" w:lineRule="auto"/>
        <w:ind w:firstLine="567"/>
        <w:jc w:val="both"/>
        <w:rPr>
          <w:sz w:val="24"/>
          <w:szCs w:val="24"/>
        </w:rPr>
      </w:pPr>
      <w:r>
        <w:rPr>
          <w:sz w:val="24"/>
          <w:szCs w:val="24"/>
        </w:rPr>
        <w:t>Medicamentele nu trebuie eliminate în apele uzate sau deșeurile menajere.</w:t>
      </w:r>
    </w:p>
    <w:p w:rsidR="00AC3F13" w:rsidRDefault="00AF7FA0">
      <w:pPr>
        <w:ind w:left="567"/>
        <w:jc w:val="both"/>
        <w:rPr>
          <w:sz w:val="24"/>
          <w:szCs w:val="24"/>
        </w:rPr>
      </w:pPr>
      <w:r>
        <w:rPr>
          <w:sz w:val="24"/>
          <w:szCs w:val="24"/>
        </w:rPr>
        <w:t>Utilizați sistemele de returnare a medicamentelor de uz veterinar neutilizate sau a deșeurilor provenite din acestea, în conformitate cu cerințele locale și cu sistemele naționale de colectare aplicabile care  contribue la protecția mediului.</w:t>
      </w:r>
    </w:p>
    <w:p w:rsidR="00AC3F13" w:rsidRDefault="00AC3F13">
      <w:pPr>
        <w:tabs>
          <w:tab w:val="clear" w:pos="567"/>
        </w:tabs>
        <w:spacing w:line="240" w:lineRule="auto"/>
        <w:jc w:val="both"/>
        <w:rPr>
          <w:bCs/>
          <w:sz w:val="24"/>
          <w:szCs w:val="24"/>
          <w:highlight w:val="lightGray"/>
        </w:rPr>
      </w:pPr>
    </w:p>
    <w:p w:rsidR="00AC3F13" w:rsidRDefault="00AF7FA0">
      <w:pPr>
        <w:pStyle w:val="Style1"/>
        <w:jc w:val="both"/>
        <w:rPr>
          <w:sz w:val="24"/>
          <w:szCs w:val="24"/>
        </w:rPr>
      </w:pPr>
      <w:r>
        <w:rPr>
          <w:sz w:val="24"/>
          <w:szCs w:val="24"/>
        </w:rPr>
        <w:t>13.</w:t>
      </w:r>
      <w:r>
        <w:rPr>
          <w:sz w:val="24"/>
          <w:szCs w:val="24"/>
        </w:rPr>
        <w:tab/>
        <w:t>Clasificarea medicamentelor de uz veterinar</w:t>
      </w:r>
    </w:p>
    <w:p w:rsidR="00AC3F13" w:rsidRPr="00D07CD2" w:rsidRDefault="00AF7FA0">
      <w:pPr>
        <w:pStyle w:val="a8"/>
        <w:ind w:left="567"/>
        <w:rPr>
          <w:rFonts w:ascii="Times New Roman" w:hAnsi="Times New Roman"/>
          <w:sz w:val="24"/>
          <w:szCs w:val="24"/>
          <w:lang w:val="ro-RO"/>
        </w:rPr>
      </w:pPr>
      <w:r w:rsidRPr="00D07CD2">
        <w:rPr>
          <w:rFonts w:ascii="Times New Roman" w:hAnsi="Times New Roman"/>
          <w:sz w:val="24"/>
          <w:szCs w:val="24"/>
          <w:lang w:val="ro-RO"/>
        </w:rPr>
        <w:t>Grupa farmacoterapeutică: QR05SV Medicamente mucolitice.</w:t>
      </w:r>
    </w:p>
    <w:p w:rsidR="00AC3F13" w:rsidRDefault="00AC3F13">
      <w:pPr>
        <w:pStyle w:val="a8"/>
        <w:ind w:left="567"/>
        <w:rPr>
          <w:sz w:val="24"/>
          <w:szCs w:val="24"/>
          <w:lang w:val="ro-RO"/>
        </w:rPr>
      </w:pPr>
    </w:p>
    <w:p w:rsidR="00AC3F13" w:rsidRDefault="00AF7FA0">
      <w:pPr>
        <w:pStyle w:val="Style1"/>
        <w:jc w:val="both"/>
        <w:rPr>
          <w:sz w:val="24"/>
          <w:szCs w:val="24"/>
        </w:rPr>
      </w:pPr>
      <w:r>
        <w:rPr>
          <w:sz w:val="24"/>
          <w:szCs w:val="24"/>
        </w:rPr>
        <w:t>14.</w:t>
      </w:r>
      <w:r>
        <w:rPr>
          <w:sz w:val="24"/>
          <w:szCs w:val="24"/>
        </w:rPr>
        <w:tab/>
        <w:t>Numerele certificatelor de înregistrare și dimensiunile ambalajelor</w:t>
      </w:r>
    </w:p>
    <w:p w:rsidR="00AC3F13" w:rsidRDefault="00AF7FA0">
      <w:pPr>
        <w:tabs>
          <w:tab w:val="clear" w:pos="567"/>
          <w:tab w:val="left" w:pos="700"/>
        </w:tabs>
        <w:spacing w:line="240" w:lineRule="auto"/>
        <w:jc w:val="both"/>
        <w:rPr>
          <w:szCs w:val="22"/>
          <w:lang w:val="ro"/>
        </w:rPr>
      </w:pPr>
      <w:r>
        <w:rPr>
          <w:szCs w:val="22"/>
          <w:lang w:eastAsia="zh-CN" w:bidi="ar"/>
        </w:rPr>
        <w:tab/>
      </w:r>
      <w:r>
        <w:rPr>
          <w:szCs w:val="22"/>
          <w:lang w:val="ro" w:eastAsia="zh-CN" w:bidi="ar"/>
        </w:rPr>
        <w:t>AB-05900-01-15</w:t>
      </w:r>
    </w:p>
    <w:p w:rsidR="00AC3F13" w:rsidRDefault="00AC3F13">
      <w:pPr>
        <w:tabs>
          <w:tab w:val="clear" w:pos="567"/>
        </w:tabs>
        <w:spacing w:line="240" w:lineRule="auto"/>
        <w:ind w:firstLine="567"/>
        <w:jc w:val="both"/>
        <w:rPr>
          <w:szCs w:val="22"/>
        </w:rPr>
      </w:pPr>
    </w:p>
    <w:p w:rsidR="00AC3F13" w:rsidRDefault="00AC3F13">
      <w:pPr>
        <w:rPr>
          <w:sz w:val="24"/>
          <w:szCs w:val="24"/>
        </w:rPr>
      </w:pPr>
    </w:p>
    <w:p w:rsidR="00AC3F13" w:rsidRDefault="00AF7FA0">
      <w:pPr>
        <w:pStyle w:val="Style1"/>
        <w:jc w:val="both"/>
        <w:rPr>
          <w:sz w:val="24"/>
          <w:szCs w:val="24"/>
        </w:rPr>
      </w:pPr>
      <w:r>
        <w:rPr>
          <w:sz w:val="24"/>
          <w:szCs w:val="24"/>
        </w:rPr>
        <w:t>15.</w:t>
      </w:r>
      <w:r>
        <w:rPr>
          <w:sz w:val="24"/>
          <w:szCs w:val="24"/>
        </w:rPr>
        <w:tab/>
        <w:t>Data ultimei revizuiri a prospectului</w:t>
      </w:r>
    </w:p>
    <w:p w:rsidR="00AC3F13" w:rsidRDefault="00D07CD2">
      <w:pPr>
        <w:tabs>
          <w:tab w:val="clear" w:pos="567"/>
        </w:tabs>
        <w:spacing w:line="240" w:lineRule="auto"/>
        <w:jc w:val="both"/>
        <w:rPr>
          <w:sz w:val="24"/>
          <w:szCs w:val="24"/>
        </w:rPr>
      </w:pPr>
      <w:r>
        <w:rPr>
          <w:sz w:val="24"/>
          <w:szCs w:val="24"/>
        </w:rPr>
        <w:t xml:space="preserve">           02.2025</w:t>
      </w:r>
    </w:p>
    <w:p w:rsidR="00AC3F13" w:rsidRDefault="00AF7FA0">
      <w:pPr>
        <w:jc w:val="both"/>
        <w:rPr>
          <w:sz w:val="24"/>
          <w:szCs w:val="24"/>
        </w:rPr>
      </w:pPr>
      <w:r>
        <w:rPr>
          <w:sz w:val="24"/>
          <w:szCs w:val="24"/>
        </w:rPr>
        <w:tab/>
      </w:r>
    </w:p>
    <w:p w:rsidR="00AC3F13" w:rsidRDefault="00AF7FA0">
      <w:pPr>
        <w:ind w:left="567" w:right="-318"/>
        <w:jc w:val="both"/>
        <w:rPr>
          <w:sz w:val="24"/>
          <w:szCs w:val="24"/>
        </w:rPr>
      </w:pPr>
      <w:r>
        <w:rPr>
          <w:sz w:val="24"/>
          <w:szCs w:val="24"/>
        </w:rPr>
        <w:t>Informații detaliate privind acest medicament de uz veterinar sunt disponibile în Baza de Date a Republicii Moldova - Registrul de Stat al medicamentelor de uz veterinar (</w:t>
      </w:r>
      <w:hyperlink r:id="rId8" w:history="1">
        <w:r>
          <w:rPr>
            <w:rStyle w:val="a3"/>
            <w:sz w:val="24"/>
            <w:szCs w:val="24"/>
          </w:rPr>
          <w:t>https://registru.ansa.gov.md/</w:t>
        </w:r>
      </w:hyperlink>
      <w:r>
        <w:rPr>
          <w:sz w:val="24"/>
          <w:szCs w:val="24"/>
        </w:rPr>
        <w:t>).</w:t>
      </w:r>
    </w:p>
    <w:p w:rsidR="00AC3F13" w:rsidRDefault="00AC3F13">
      <w:pPr>
        <w:tabs>
          <w:tab w:val="clear" w:pos="567"/>
        </w:tabs>
        <w:spacing w:line="240" w:lineRule="auto"/>
        <w:jc w:val="both"/>
        <w:rPr>
          <w:sz w:val="24"/>
          <w:szCs w:val="24"/>
        </w:rPr>
      </w:pPr>
    </w:p>
    <w:p w:rsidR="00AC3F13" w:rsidRDefault="00AF7FA0">
      <w:pPr>
        <w:pStyle w:val="Style1"/>
        <w:jc w:val="both"/>
        <w:rPr>
          <w:sz w:val="24"/>
          <w:szCs w:val="24"/>
        </w:rPr>
      </w:pPr>
      <w:r>
        <w:rPr>
          <w:sz w:val="24"/>
          <w:szCs w:val="24"/>
        </w:rPr>
        <w:t>16.</w:t>
      </w:r>
      <w:r>
        <w:rPr>
          <w:sz w:val="24"/>
          <w:szCs w:val="24"/>
        </w:rPr>
        <w:tab/>
        <w:t xml:space="preserve">Date de contact </w:t>
      </w:r>
    </w:p>
    <w:p w:rsidR="00AC3F13" w:rsidRDefault="00AC3F13">
      <w:pPr>
        <w:tabs>
          <w:tab w:val="clear" w:pos="567"/>
        </w:tabs>
        <w:spacing w:line="240" w:lineRule="auto"/>
        <w:jc w:val="both"/>
        <w:rPr>
          <w:sz w:val="24"/>
          <w:szCs w:val="24"/>
        </w:rPr>
      </w:pPr>
    </w:p>
    <w:p w:rsidR="00AC3F13" w:rsidRDefault="00AF7FA0">
      <w:pPr>
        <w:ind w:left="567"/>
        <w:jc w:val="both"/>
        <w:rPr>
          <w:sz w:val="24"/>
          <w:szCs w:val="24"/>
        </w:rPr>
      </w:pPr>
      <w:bookmarkStart w:id="1" w:name="_Hlk73552578"/>
      <w:r>
        <w:rPr>
          <w:iCs/>
          <w:sz w:val="24"/>
          <w:szCs w:val="24"/>
          <w:u w:val="single"/>
        </w:rPr>
        <w:t>Deținătorul certificatului de înregistrare și producătorul responsabil pentru eliberarea serieiși date de contact pentru raportarea reacțiilor adverse suspectate</w:t>
      </w:r>
      <w:r>
        <w:rPr>
          <w:sz w:val="24"/>
          <w:szCs w:val="24"/>
        </w:rPr>
        <w:t>:</w:t>
      </w:r>
    </w:p>
    <w:p w:rsidR="00AC3F13" w:rsidRDefault="00AC3F13">
      <w:pPr>
        <w:tabs>
          <w:tab w:val="clear" w:pos="567"/>
        </w:tabs>
        <w:spacing w:line="240" w:lineRule="auto"/>
        <w:ind w:left="567"/>
        <w:jc w:val="both"/>
        <w:rPr>
          <w:sz w:val="24"/>
          <w:szCs w:val="24"/>
        </w:rPr>
      </w:pPr>
    </w:p>
    <w:p w:rsidR="00AC3F13" w:rsidRDefault="00AF7FA0">
      <w:pPr>
        <w:tabs>
          <w:tab w:val="clear" w:pos="567"/>
        </w:tabs>
        <w:spacing w:line="240" w:lineRule="auto"/>
        <w:ind w:left="567"/>
        <w:jc w:val="both"/>
        <w:rPr>
          <w:sz w:val="24"/>
          <w:szCs w:val="24"/>
        </w:rPr>
      </w:pPr>
      <w:r>
        <w:rPr>
          <w:sz w:val="24"/>
          <w:szCs w:val="24"/>
        </w:rPr>
        <w:t xml:space="preserve">Producător: SRL „Vetsintez” </w:t>
      </w:r>
    </w:p>
    <w:p w:rsidR="00AC3F13" w:rsidRDefault="00AF7FA0">
      <w:pPr>
        <w:tabs>
          <w:tab w:val="clear" w:pos="567"/>
        </w:tabs>
        <w:spacing w:line="240" w:lineRule="auto"/>
        <w:ind w:left="567"/>
        <w:jc w:val="both"/>
        <w:rPr>
          <w:sz w:val="24"/>
          <w:szCs w:val="24"/>
        </w:rPr>
      </w:pPr>
      <w:r>
        <w:rPr>
          <w:sz w:val="24"/>
          <w:szCs w:val="24"/>
        </w:rPr>
        <w:t>Ucraina, 61001, Harkov, st. Smolnaia, 30</w:t>
      </w:r>
    </w:p>
    <w:p w:rsidR="00AC3F13" w:rsidRDefault="00AF7FA0">
      <w:pPr>
        <w:tabs>
          <w:tab w:val="clear" w:pos="567"/>
        </w:tabs>
        <w:spacing w:line="240" w:lineRule="auto"/>
        <w:ind w:left="567"/>
        <w:jc w:val="both"/>
        <w:rPr>
          <w:sz w:val="24"/>
          <w:szCs w:val="24"/>
        </w:rPr>
      </w:pPr>
      <w:r>
        <w:rPr>
          <w:sz w:val="24"/>
          <w:szCs w:val="24"/>
        </w:rPr>
        <w:t>Telefon/fax: +38 (057) 757-84-71; +38 (057) 714-37-51</w:t>
      </w:r>
    </w:p>
    <w:p w:rsidR="00AC3F13" w:rsidRDefault="00AF7FA0">
      <w:pPr>
        <w:tabs>
          <w:tab w:val="clear" w:pos="567"/>
        </w:tabs>
        <w:spacing w:line="240" w:lineRule="auto"/>
        <w:ind w:left="567"/>
        <w:jc w:val="both"/>
        <w:rPr>
          <w:sz w:val="24"/>
          <w:szCs w:val="24"/>
        </w:rPr>
      </w:pPr>
      <w:r>
        <w:rPr>
          <w:sz w:val="24"/>
          <w:szCs w:val="24"/>
        </w:rPr>
        <w:t>E-mail: info@vetsintez.com.ua</w:t>
      </w:r>
    </w:p>
    <w:p w:rsidR="00AC3F13" w:rsidRDefault="00AC3F13">
      <w:pPr>
        <w:tabs>
          <w:tab w:val="clear" w:pos="567"/>
        </w:tabs>
        <w:spacing w:line="240" w:lineRule="auto"/>
        <w:ind w:left="567"/>
        <w:jc w:val="both"/>
        <w:rPr>
          <w:sz w:val="24"/>
          <w:szCs w:val="24"/>
        </w:rPr>
      </w:pPr>
    </w:p>
    <w:p w:rsidR="00AC3F13" w:rsidRDefault="00AC3F13">
      <w:pPr>
        <w:jc w:val="both"/>
        <w:rPr>
          <w:iCs/>
          <w:sz w:val="24"/>
          <w:szCs w:val="24"/>
        </w:rPr>
      </w:pPr>
    </w:p>
    <w:p w:rsidR="00D07CD2" w:rsidRDefault="00D07CD2">
      <w:pPr>
        <w:jc w:val="both"/>
        <w:rPr>
          <w:iCs/>
          <w:sz w:val="24"/>
          <w:szCs w:val="24"/>
        </w:rPr>
      </w:pPr>
    </w:p>
    <w:p w:rsidR="00D07CD2" w:rsidRDefault="00D07CD2">
      <w:pPr>
        <w:jc w:val="both"/>
        <w:rPr>
          <w:iCs/>
          <w:sz w:val="24"/>
          <w:szCs w:val="24"/>
        </w:rPr>
      </w:pPr>
    </w:p>
    <w:p w:rsidR="00AC3F13" w:rsidRDefault="00AF7FA0">
      <w:pPr>
        <w:pStyle w:val="Style4"/>
        <w:jc w:val="both"/>
        <w:rPr>
          <w:sz w:val="24"/>
          <w:szCs w:val="24"/>
        </w:rPr>
      </w:pPr>
      <w:bookmarkStart w:id="2" w:name="_Hlk73552585"/>
      <w:bookmarkEnd w:id="1"/>
      <w:r>
        <w:rPr>
          <w:sz w:val="24"/>
          <w:szCs w:val="24"/>
        </w:rPr>
        <w:lastRenderedPageBreak/>
        <w:tab/>
      </w:r>
      <w:r>
        <w:rPr>
          <w:sz w:val="24"/>
          <w:szCs w:val="24"/>
          <w:u w:val="single"/>
        </w:rPr>
        <w:t>Reprezentanți locali și date de contact pentru raportarea reacțiilor adverse suspectate</w:t>
      </w:r>
      <w:r>
        <w:rPr>
          <w:sz w:val="24"/>
          <w:szCs w:val="24"/>
        </w:rPr>
        <w:t>:</w:t>
      </w:r>
    </w:p>
    <w:bookmarkEnd w:id="2"/>
    <w:p w:rsidR="00AC3F13" w:rsidRDefault="00AC3F13">
      <w:pPr>
        <w:ind w:left="680"/>
        <w:rPr>
          <w:sz w:val="24"/>
          <w:szCs w:val="24"/>
        </w:rPr>
      </w:pPr>
    </w:p>
    <w:p w:rsidR="00AC3F13" w:rsidRDefault="00AF7FA0">
      <w:pPr>
        <w:ind w:left="567"/>
        <w:rPr>
          <w:sz w:val="24"/>
          <w:szCs w:val="24"/>
        </w:rPr>
      </w:pPr>
      <w:r>
        <w:rPr>
          <w:sz w:val="24"/>
          <w:szCs w:val="24"/>
        </w:rPr>
        <w:t>Republica Moldova, SA „Farmavet”,MD-2059, Republica Moldova, Chișinău, str. Petricani 198.  Tel.:31-72-70;31-72-67;99-92-89;Fax:31-72-68; www.farmavet.md</w:t>
      </w:r>
    </w:p>
    <w:p w:rsidR="00AC3F13" w:rsidRDefault="00AC3F13">
      <w:pPr>
        <w:tabs>
          <w:tab w:val="clear" w:pos="567"/>
        </w:tabs>
        <w:spacing w:line="240" w:lineRule="auto"/>
        <w:ind w:left="680"/>
        <w:jc w:val="both"/>
        <w:rPr>
          <w:sz w:val="24"/>
          <w:szCs w:val="24"/>
        </w:rPr>
      </w:pPr>
    </w:p>
    <w:tbl>
      <w:tblPr>
        <w:tblW w:w="0" w:type="auto"/>
        <w:tblLook w:val="04A0" w:firstRow="1" w:lastRow="0" w:firstColumn="1" w:lastColumn="0" w:noHBand="0" w:noVBand="1"/>
      </w:tblPr>
      <w:tblGrid>
        <w:gridCol w:w="4527"/>
      </w:tblGrid>
      <w:tr w:rsidR="00AC3F13">
        <w:trPr>
          <w:cantSplit/>
        </w:trPr>
        <w:tc>
          <w:tcPr>
            <w:tcW w:w="4527" w:type="dxa"/>
            <w:shd w:val="clear" w:color="auto" w:fill="auto"/>
          </w:tcPr>
          <w:p w:rsidR="00AC3F13" w:rsidRDefault="00AC3F13">
            <w:pPr>
              <w:jc w:val="both"/>
              <w:rPr>
                <w:b/>
                <w:sz w:val="24"/>
                <w:szCs w:val="24"/>
              </w:rPr>
            </w:pPr>
          </w:p>
        </w:tc>
      </w:tr>
      <w:tr w:rsidR="00AC3F13">
        <w:trPr>
          <w:cantSplit/>
        </w:trPr>
        <w:tc>
          <w:tcPr>
            <w:tcW w:w="4527" w:type="dxa"/>
            <w:shd w:val="clear" w:color="auto" w:fill="auto"/>
          </w:tcPr>
          <w:p w:rsidR="00AC3F13" w:rsidRDefault="00AC3F13">
            <w:pPr>
              <w:jc w:val="both"/>
              <w:rPr>
                <w:bCs/>
                <w:sz w:val="24"/>
                <w:szCs w:val="24"/>
              </w:rPr>
            </w:pPr>
          </w:p>
        </w:tc>
      </w:tr>
    </w:tbl>
    <w:p w:rsidR="00AC3F13" w:rsidRDefault="00AF7FA0">
      <w:pPr>
        <w:pStyle w:val="Style1"/>
        <w:jc w:val="both"/>
        <w:rPr>
          <w:sz w:val="24"/>
          <w:szCs w:val="24"/>
        </w:rPr>
      </w:pPr>
      <w:r>
        <w:rPr>
          <w:sz w:val="24"/>
          <w:szCs w:val="24"/>
        </w:rPr>
        <w:t xml:space="preserve"> 17.</w:t>
      </w:r>
      <w:r>
        <w:rPr>
          <w:sz w:val="24"/>
          <w:szCs w:val="24"/>
        </w:rPr>
        <w:tab/>
        <w:t>Alte informații -</w:t>
      </w:r>
    </w:p>
    <w:p w:rsidR="00AC3F13" w:rsidRDefault="00AC3F13">
      <w:pPr>
        <w:tabs>
          <w:tab w:val="clear" w:pos="567"/>
        </w:tabs>
        <w:spacing w:line="240" w:lineRule="auto"/>
        <w:jc w:val="both"/>
        <w:rPr>
          <w:sz w:val="24"/>
          <w:szCs w:val="24"/>
        </w:rPr>
      </w:pPr>
    </w:p>
    <w:p w:rsidR="00D07CD2" w:rsidRDefault="00D07CD2" w:rsidP="00D07CD2">
      <w:pPr>
        <w:tabs>
          <w:tab w:val="clear" w:pos="567"/>
        </w:tabs>
        <w:spacing w:line="240" w:lineRule="auto"/>
        <w:ind w:left="567"/>
        <w:jc w:val="both"/>
        <w:rPr>
          <w:sz w:val="24"/>
          <w:szCs w:val="24"/>
        </w:rPr>
      </w:pPr>
      <w:r>
        <w:rPr>
          <w:sz w:val="24"/>
          <w:szCs w:val="24"/>
        </w:rPr>
        <w:t>Pentru orice informații referitoare la acest medicament de uz veterinar, vă rugăm să  contactați reprezentantul local al deținătorului certificatului de înregistrare.</w:t>
      </w:r>
    </w:p>
    <w:p w:rsidR="00AC3F13" w:rsidRDefault="00AC3F13">
      <w:pPr>
        <w:rPr>
          <w:sz w:val="24"/>
          <w:szCs w:val="24"/>
        </w:rPr>
      </w:pPr>
    </w:p>
    <w:sectPr w:rsidR="00AC3F13">
      <w:footerReference w:type="default" r:id="rId9"/>
      <w:footerReference w:type="first" r:id="rId10"/>
      <w:endnotePr>
        <w:numFmt w:val="decimal"/>
      </w:endnotePr>
      <w:pgSz w:w="11907" w:h="16840"/>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7E7" w:rsidRDefault="00AB27E7">
      <w:pPr>
        <w:spacing w:line="240" w:lineRule="auto"/>
      </w:pPr>
      <w:r>
        <w:separator/>
      </w:r>
    </w:p>
  </w:endnote>
  <w:endnote w:type="continuationSeparator" w:id="0">
    <w:p w:rsidR="00AB27E7" w:rsidRDefault="00AB2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00"/>
    <w:family w:val="swiss"/>
    <w:pitch w:val="default"/>
    <w:sig w:usb0="00000000"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F13" w:rsidRDefault="00AC3F13">
    <w:pPr>
      <w:pStyle w:val="a4"/>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F13" w:rsidRDefault="00AF7FA0">
    <w:pPr>
      <w:pStyle w:val="a4"/>
      <w:tabs>
        <w:tab w:val="clear" w:pos="8930"/>
        <w:tab w:val="right" w:pos="8931"/>
      </w:tabs>
      <w:jc w:val="center"/>
      <w:rPr>
        <w:rFonts w:ascii="Times New Roman" w:hAnsi="Times New Roman"/>
      </w:rPr>
    </w:pPr>
    <w:r>
      <w:fldChar w:fldCharType="begin"/>
    </w:r>
    <w:r>
      <w:instrText xml:space="preserve"> PAGE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7E7" w:rsidRDefault="00AB27E7">
      <w:pPr>
        <w:spacing w:line="240" w:lineRule="auto"/>
      </w:pPr>
      <w:r>
        <w:separator/>
      </w:r>
    </w:p>
  </w:footnote>
  <w:footnote w:type="continuationSeparator" w:id="0">
    <w:p w:rsidR="00AB27E7" w:rsidRDefault="00AB27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C3C1E"/>
    <w:multiLevelType w:val="multilevel"/>
    <w:tmpl w:val="5E0C3C1E"/>
    <w:lvl w:ilvl="0">
      <w:start w:val="1"/>
      <w:numFmt w:val="upperLetter"/>
      <w:pStyle w:val="Style3"/>
      <w:suff w:val="space"/>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AD3"/>
    <w:rsid w:val="00110022"/>
    <w:rsid w:val="00142395"/>
    <w:rsid w:val="0018463E"/>
    <w:rsid w:val="001E7BD8"/>
    <w:rsid w:val="00211E00"/>
    <w:rsid w:val="00271069"/>
    <w:rsid w:val="00303BC9"/>
    <w:rsid w:val="00314C03"/>
    <w:rsid w:val="00325E90"/>
    <w:rsid w:val="00376ABB"/>
    <w:rsid w:val="00381A7B"/>
    <w:rsid w:val="00385A4A"/>
    <w:rsid w:val="003A4AD3"/>
    <w:rsid w:val="003B0E1C"/>
    <w:rsid w:val="003B18A4"/>
    <w:rsid w:val="0042371D"/>
    <w:rsid w:val="0042761E"/>
    <w:rsid w:val="0046562C"/>
    <w:rsid w:val="00526969"/>
    <w:rsid w:val="00591DA3"/>
    <w:rsid w:val="005E3B82"/>
    <w:rsid w:val="005F0C6F"/>
    <w:rsid w:val="005F7AD1"/>
    <w:rsid w:val="006032B3"/>
    <w:rsid w:val="006207B2"/>
    <w:rsid w:val="006870E8"/>
    <w:rsid w:val="006F0200"/>
    <w:rsid w:val="007303A3"/>
    <w:rsid w:val="00743284"/>
    <w:rsid w:val="007818ED"/>
    <w:rsid w:val="007C1719"/>
    <w:rsid w:val="007F7B95"/>
    <w:rsid w:val="00810C9A"/>
    <w:rsid w:val="008352CA"/>
    <w:rsid w:val="0085644F"/>
    <w:rsid w:val="00887F3B"/>
    <w:rsid w:val="00906FF0"/>
    <w:rsid w:val="0093384D"/>
    <w:rsid w:val="009E5846"/>
    <w:rsid w:val="00A04221"/>
    <w:rsid w:val="00A072A2"/>
    <w:rsid w:val="00A109F3"/>
    <w:rsid w:val="00A932EA"/>
    <w:rsid w:val="00AB27E7"/>
    <w:rsid w:val="00AC3F13"/>
    <w:rsid w:val="00AC7F4D"/>
    <w:rsid w:val="00AF7FA0"/>
    <w:rsid w:val="00B32CC9"/>
    <w:rsid w:val="00B35379"/>
    <w:rsid w:val="00B63772"/>
    <w:rsid w:val="00BB0FAB"/>
    <w:rsid w:val="00C17472"/>
    <w:rsid w:val="00C35CE5"/>
    <w:rsid w:val="00C52DC8"/>
    <w:rsid w:val="00C8065E"/>
    <w:rsid w:val="00D04FC8"/>
    <w:rsid w:val="00D07CD2"/>
    <w:rsid w:val="00D223C1"/>
    <w:rsid w:val="00D40C79"/>
    <w:rsid w:val="00DC01EE"/>
    <w:rsid w:val="00DC7223"/>
    <w:rsid w:val="00DD0FC2"/>
    <w:rsid w:val="00EC07F3"/>
    <w:rsid w:val="00EE26ED"/>
    <w:rsid w:val="00F12FA2"/>
    <w:rsid w:val="00F36BAA"/>
    <w:rsid w:val="00F40EF4"/>
    <w:rsid w:val="00F51335"/>
    <w:rsid w:val="00F55F1B"/>
    <w:rsid w:val="00F6634E"/>
    <w:rsid w:val="00FA337A"/>
    <w:rsid w:val="00FD639C"/>
    <w:rsid w:val="2860794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D4D8"/>
  <w15:docId w15:val="{7988818A-4C94-4C5F-8354-3A2682575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tabs>
        <w:tab w:val="left" w:pos="567"/>
      </w:tabs>
      <w:spacing w:line="260" w:lineRule="exact"/>
    </w:pPr>
    <w:rPr>
      <w:rFonts w:ascii="Times New Roman" w:eastAsia="Times New Roman" w:hAnsi="Times New Roman"/>
      <w:sz w:val="22"/>
      <w:lang w:val="ro-RO"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footer"/>
    <w:basedOn w:val="a"/>
    <w:link w:val="a5"/>
    <w:pPr>
      <w:tabs>
        <w:tab w:val="clear" w:pos="567"/>
        <w:tab w:val="center" w:pos="4536"/>
        <w:tab w:val="center" w:pos="8930"/>
      </w:tabs>
      <w:spacing w:line="240" w:lineRule="auto"/>
    </w:pPr>
    <w:rPr>
      <w:rFonts w:ascii="Helvetica" w:hAnsi="Helvetica"/>
      <w:sz w:val="16"/>
    </w:rPr>
  </w:style>
  <w:style w:type="paragraph" w:styleId="HTML">
    <w:name w:val="HTML Preformatted"/>
    <w:basedOn w:val="a"/>
    <w:link w:val="HTML0"/>
    <w:uiPriority w:val="99"/>
    <w:semiHidden/>
    <w:unhideWhenUsed/>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val="ru-RU" w:eastAsia="ru-RU"/>
    </w:rPr>
  </w:style>
  <w:style w:type="table" w:styleId="a6">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Нижний колонтитул Знак"/>
    <w:basedOn w:val="a0"/>
    <w:link w:val="a4"/>
    <w:rPr>
      <w:rFonts w:ascii="Helvetica" w:eastAsia="Times New Roman" w:hAnsi="Helvetica" w:cs="Times New Roman"/>
      <w:sz w:val="16"/>
      <w:szCs w:val="20"/>
      <w:lang w:val="ro-RO"/>
    </w:rPr>
  </w:style>
  <w:style w:type="paragraph" w:customStyle="1" w:styleId="Style1">
    <w:name w:val="Style1"/>
    <w:basedOn w:val="a"/>
    <w:qFormat/>
    <w:pPr>
      <w:tabs>
        <w:tab w:val="clear" w:pos="567"/>
        <w:tab w:val="left" w:pos="0"/>
      </w:tabs>
      <w:spacing w:line="240" w:lineRule="auto"/>
      <w:ind w:left="567" w:hanging="567"/>
    </w:pPr>
    <w:rPr>
      <w:b/>
      <w:szCs w:val="22"/>
    </w:rPr>
  </w:style>
  <w:style w:type="paragraph" w:customStyle="1" w:styleId="Style3">
    <w:name w:val="Style3"/>
    <w:basedOn w:val="a"/>
    <w:qFormat/>
    <w:pPr>
      <w:numPr>
        <w:numId w:val="1"/>
      </w:numPr>
      <w:tabs>
        <w:tab w:val="clear" w:pos="567"/>
      </w:tabs>
      <w:spacing w:line="240" w:lineRule="auto"/>
      <w:jc w:val="center"/>
    </w:pPr>
    <w:rPr>
      <w:b/>
      <w:szCs w:val="22"/>
    </w:rPr>
  </w:style>
  <w:style w:type="paragraph" w:customStyle="1" w:styleId="Style4">
    <w:name w:val="Style4"/>
    <w:basedOn w:val="a"/>
    <w:qFormat/>
    <w:rPr>
      <w:szCs w:val="22"/>
    </w:rPr>
  </w:style>
  <w:style w:type="paragraph" w:customStyle="1" w:styleId="Style5">
    <w:name w:val="Style5"/>
    <w:basedOn w:val="a"/>
    <w:qFormat/>
    <w:pPr>
      <w:tabs>
        <w:tab w:val="clear" w:pos="567"/>
      </w:tabs>
      <w:spacing w:line="240" w:lineRule="auto"/>
    </w:pPr>
    <w:rPr>
      <w:szCs w:val="22"/>
    </w:rPr>
  </w:style>
  <w:style w:type="paragraph" w:styleId="a7">
    <w:name w:val="List Paragraph"/>
    <w:basedOn w:val="a"/>
    <w:uiPriority w:val="34"/>
    <w:qFormat/>
    <w:pPr>
      <w:tabs>
        <w:tab w:val="clear" w:pos="567"/>
      </w:tabs>
      <w:spacing w:line="240" w:lineRule="auto"/>
      <w:ind w:left="720"/>
      <w:contextualSpacing/>
    </w:pPr>
    <w:rPr>
      <w:rFonts w:ascii="Calibri" w:eastAsia="Calibri" w:hAnsi="Calibri" w:cs="Arial"/>
      <w:sz w:val="20"/>
      <w:lang w:val="ru-RU" w:eastAsia="ru-RU"/>
    </w:rPr>
  </w:style>
  <w:style w:type="paragraph" w:styleId="a8">
    <w:name w:val="No Spacing"/>
    <w:basedOn w:val="a"/>
    <w:uiPriority w:val="1"/>
    <w:qFormat/>
    <w:pPr>
      <w:tabs>
        <w:tab w:val="clear" w:pos="567"/>
      </w:tabs>
      <w:spacing w:line="240" w:lineRule="auto"/>
    </w:pPr>
    <w:rPr>
      <w:rFonts w:ascii="Calibri" w:hAnsi="Calibri"/>
      <w:szCs w:val="22"/>
      <w:lang w:val="en-US" w:bidi="en-US"/>
    </w:rPr>
  </w:style>
  <w:style w:type="character" w:customStyle="1" w:styleId="HTML0">
    <w:name w:val="Стандартный HTML Знак"/>
    <w:basedOn w:val="a0"/>
    <w:link w:val="HTML"/>
    <w:uiPriority w:val="99"/>
    <w:semiHidden/>
    <w:rPr>
      <w:rFonts w:ascii="Courier New" w:eastAsia="Times New Roman" w:hAnsi="Courier New" w:cs="Courier New"/>
      <w:sz w:val="20"/>
      <w:szCs w:val="20"/>
      <w:lang w:eastAsia="ru-RU"/>
    </w:rPr>
  </w:style>
  <w:style w:type="character" w:customStyle="1" w:styleId="y2iqfc">
    <w:name w:val="y2iqfc"/>
    <w:basedOn w:val="a0"/>
  </w:style>
  <w:style w:type="character" w:customStyle="1" w:styleId="rynqvb">
    <w:name w:val="rynqvb"/>
    <w:basedOn w:val="a0"/>
  </w:style>
  <w:style w:type="paragraph" w:customStyle="1" w:styleId="Normalold">
    <w:name w:val="Normal (old)"/>
    <w:basedOn w:val="a"/>
    <w:pPr>
      <w:tabs>
        <w:tab w:val="clear" w:pos="567"/>
      </w:tabs>
      <w:spacing w:line="240" w:lineRule="auto"/>
      <w:ind w:left="720" w:hanging="720"/>
    </w:pPr>
    <w:rPr>
      <w:rFonts w:eastAsia="SimSun"/>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u.ansa.gov.m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A4ECF-63DE-4B77-9E02-AC2368CE8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705</Words>
  <Characters>4021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cp:lastModifiedBy>
  <cp:revision>6</cp:revision>
  <dcterms:created xsi:type="dcterms:W3CDTF">2025-04-14T06:35:00Z</dcterms:created>
  <dcterms:modified xsi:type="dcterms:W3CDTF">2025-04-15T07:41:00Z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422F3E288700451085020E8A591D91E5_12</vt:lpwstr>
  </property>
</Properties>
</file>