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008A" w:rsidRPr="00C32182" w:rsidRDefault="00A3008A" w:rsidP="00A3008A">
      <w:pPr>
        <w:tabs>
          <w:tab w:val="clear" w:pos="567"/>
        </w:tabs>
        <w:spacing w:line="240" w:lineRule="auto"/>
        <w:jc w:val="both"/>
        <w:rPr>
          <w:szCs w:val="22"/>
        </w:rPr>
      </w:pPr>
      <w:r w:rsidRPr="00C32182">
        <w:rPr>
          <w:b/>
          <w:szCs w:val="22"/>
        </w:rPr>
        <w:t>PROSPECTUL</w:t>
      </w:r>
    </w:p>
    <w:p w:rsidR="00A3008A" w:rsidRPr="00C32182" w:rsidRDefault="00A3008A" w:rsidP="00A3008A">
      <w:pPr>
        <w:tabs>
          <w:tab w:val="clear" w:pos="567"/>
        </w:tabs>
        <w:spacing w:line="240" w:lineRule="auto"/>
        <w:jc w:val="both"/>
        <w:rPr>
          <w:szCs w:val="22"/>
        </w:rPr>
      </w:pPr>
    </w:p>
    <w:p w:rsidR="00A3008A" w:rsidRDefault="00A3008A" w:rsidP="00E22F11">
      <w:pPr>
        <w:pStyle w:val="Style1"/>
        <w:numPr>
          <w:ilvl w:val="0"/>
          <w:numId w:val="1"/>
        </w:numPr>
        <w:jc w:val="both"/>
      </w:pPr>
      <w:r w:rsidRPr="00C32182">
        <w:t xml:space="preserve">Denumirea </w:t>
      </w:r>
      <w:r>
        <w:t>medicamentului de uz</w:t>
      </w:r>
      <w:r w:rsidRPr="00C32182">
        <w:t xml:space="preserve"> veterinar</w:t>
      </w:r>
    </w:p>
    <w:p w:rsidR="00E22F11" w:rsidRPr="00C32182" w:rsidRDefault="00E22F11" w:rsidP="00E22F11">
      <w:pPr>
        <w:pStyle w:val="Style1"/>
        <w:ind w:left="930" w:firstLine="0"/>
        <w:jc w:val="both"/>
      </w:pPr>
    </w:p>
    <w:p w:rsidR="00A3008A" w:rsidRPr="00E43E35" w:rsidRDefault="00E43E35" w:rsidP="00E43E35">
      <w:pPr>
        <w:tabs>
          <w:tab w:val="clear" w:pos="567"/>
        </w:tabs>
        <w:spacing w:line="240" w:lineRule="auto"/>
        <w:jc w:val="both"/>
        <w:rPr>
          <w:szCs w:val="22"/>
        </w:rPr>
      </w:pPr>
      <w:r w:rsidRPr="00E43E35">
        <w:rPr>
          <w:szCs w:val="22"/>
        </w:rPr>
        <w:t>Bravecto 150 mg/ml pulbere şi solvent pentru suspensie injectabilă pentru câini</w:t>
      </w:r>
    </w:p>
    <w:p w:rsidR="00A3008A" w:rsidRPr="00C32182" w:rsidRDefault="00A3008A" w:rsidP="00A3008A">
      <w:pPr>
        <w:tabs>
          <w:tab w:val="clear" w:pos="567"/>
        </w:tabs>
        <w:spacing w:line="240" w:lineRule="auto"/>
        <w:jc w:val="both"/>
        <w:rPr>
          <w:szCs w:val="22"/>
        </w:rPr>
      </w:pPr>
    </w:p>
    <w:p w:rsidR="00A3008A" w:rsidRDefault="00A3008A" w:rsidP="00A3008A">
      <w:pPr>
        <w:pStyle w:val="Style1"/>
        <w:jc w:val="both"/>
      </w:pPr>
      <w:r w:rsidRPr="00C32182">
        <w:rPr>
          <w:highlight w:val="lightGray"/>
        </w:rPr>
        <w:t>2.</w:t>
      </w:r>
      <w:r w:rsidRPr="00C32182">
        <w:tab/>
        <w:t>Compoziție</w:t>
      </w:r>
    </w:p>
    <w:tbl>
      <w:tblPr>
        <w:tblStyle w:val="a6"/>
        <w:tblW w:w="0" w:type="auto"/>
        <w:tblInd w:w="567" w:type="dxa"/>
        <w:tblLook w:val="04A0" w:firstRow="1" w:lastRow="0" w:firstColumn="1" w:lastColumn="0" w:noHBand="0" w:noVBand="1"/>
      </w:tblPr>
      <w:tblGrid>
        <w:gridCol w:w="2405"/>
        <w:gridCol w:w="3254"/>
        <w:gridCol w:w="2835"/>
      </w:tblGrid>
      <w:tr w:rsidR="00E43E35" w:rsidTr="00E43E35">
        <w:tc>
          <w:tcPr>
            <w:tcW w:w="2405" w:type="dxa"/>
          </w:tcPr>
          <w:p w:rsidR="00E43E35" w:rsidRDefault="00E43E35" w:rsidP="00A3008A">
            <w:pPr>
              <w:pStyle w:val="Style1"/>
              <w:ind w:left="0" w:firstLine="0"/>
              <w:jc w:val="both"/>
            </w:pPr>
            <w:r w:rsidRPr="00E43E35">
              <w:t>Flacon cu pulbere:</w:t>
            </w:r>
          </w:p>
        </w:tc>
        <w:tc>
          <w:tcPr>
            <w:tcW w:w="3254" w:type="dxa"/>
          </w:tcPr>
          <w:p w:rsidR="00E43E35" w:rsidRDefault="00E43E35" w:rsidP="00A3008A">
            <w:pPr>
              <w:pStyle w:val="Style1"/>
              <w:ind w:left="0" w:firstLine="0"/>
              <w:jc w:val="both"/>
            </w:pPr>
            <w:r w:rsidRPr="00E43E35">
              <w:t>Flacon cu solvent:</w:t>
            </w:r>
          </w:p>
        </w:tc>
        <w:tc>
          <w:tcPr>
            <w:tcW w:w="2835" w:type="dxa"/>
          </w:tcPr>
          <w:p w:rsidR="00E43E35" w:rsidRPr="00E43E35" w:rsidRDefault="00E43E35" w:rsidP="00E43E35">
            <w:pPr>
              <w:rPr>
                <w:b/>
                <w:szCs w:val="22"/>
              </w:rPr>
            </w:pPr>
            <w:r w:rsidRPr="00E43E35">
              <w:rPr>
                <w:b/>
                <w:szCs w:val="22"/>
              </w:rPr>
              <w:t xml:space="preserve">Suspensie reconstituită:  </w:t>
            </w:r>
          </w:p>
          <w:p w:rsidR="00E43E35" w:rsidRDefault="00E43E35" w:rsidP="00A3008A">
            <w:pPr>
              <w:pStyle w:val="Style1"/>
              <w:ind w:left="0" w:firstLine="0"/>
              <w:jc w:val="both"/>
            </w:pPr>
          </w:p>
        </w:tc>
      </w:tr>
      <w:tr w:rsidR="00E43E35" w:rsidTr="00E43E35">
        <w:tc>
          <w:tcPr>
            <w:tcW w:w="2405" w:type="dxa"/>
          </w:tcPr>
          <w:p w:rsidR="00E43E35" w:rsidRPr="00E43E35" w:rsidRDefault="00E43E35" w:rsidP="00E43E35">
            <w:pPr>
              <w:pStyle w:val="Style1"/>
              <w:rPr>
                <w:b w:val="0"/>
              </w:rPr>
            </w:pPr>
            <w:r w:rsidRPr="00E43E35">
              <w:rPr>
                <w:b w:val="0"/>
              </w:rPr>
              <w:t xml:space="preserve">Fiecare flacon conține: Substanță activă:  Fluralaner 2,51 g </w:t>
            </w:r>
          </w:p>
          <w:p w:rsidR="00E43E35" w:rsidRPr="00E43E35" w:rsidRDefault="00E43E35" w:rsidP="00E43E35">
            <w:pPr>
              <w:pStyle w:val="Style1"/>
              <w:jc w:val="both"/>
              <w:rPr>
                <w:b w:val="0"/>
              </w:rPr>
            </w:pPr>
            <w:r w:rsidRPr="00E43E35">
              <w:rPr>
                <w:b w:val="0"/>
              </w:rPr>
              <w:t xml:space="preserve"> </w:t>
            </w:r>
          </w:p>
          <w:p w:rsidR="00E43E35" w:rsidRPr="00E43E35" w:rsidRDefault="00E43E35" w:rsidP="00A3008A">
            <w:pPr>
              <w:pStyle w:val="Style1"/>
              <w:ind w:left="0" w:firstLine="0"/>
              <w:jc w:val="both"/>
              <w:rPr>
                <w:b w:val="0"/>
              </w:rPr>
            </w:pPr>
          </w:p>
        </w:tc>
        <w:tc>
          <w:tcPr>
            <w:tcW w:w="3254" w:type="dxa"/>
          </w:tcPr>
          <w:p w:rsidR="00E43E35" w:rsidRPr="00E43E35" w:rsidRDefault="00E43E35" w:rsidP="00E43E35">
            <w:pPr>
              <w:pStyle w:val="Style1"/>
              <w:ind w:left="0" w:firstLine="0"/>
              <w:jc w:val="both"/>
              <w:rPr>
                <w:b w:val="0"/>
              </w:rPr>
            </w:pPr>
            <w:r w:rsidRPr="00E43E35">
              <w:rPr>
                <w:b w:val="0"/>
              </w:rPr>
              <w:t>Fiecare ml conține: Excipienți:  Alcool benzilic</w:t>
            </w:r>
            <w:r>
              <w:rPr>
                <w:b w:val="0"/>
              </w:rPr>
              <w:t xml:space="preserve"> -</w:t>
            </w:r>
            <w:r w:rsidRPr="00E43E35">
              <w:rPr>
                <w:b w:val="0"/>
              </w:rPr>
              <w:t xml:space="preserve">   22,3 mg</w:t>
            </w:r>
          </w:p>
        </w:tc>
        <w:tc>
          <w:tcPr>
            <w:tcW w:w="2835" w:type="dxa"/>
          </w:tcPr>
          <w:p w:rsidR="00E43E35" w:rsidRDefault="00E43E35" w:rsidP="00A3008A">
            <w:pPr>
              <w:pStyle w:val="Style1"/>
              <w:ind w:left="0" w:firstLine="0"/>
              <w:jc w:val="both"/>
              <w:rPr>
                <w:b w:val="0"/>
              </w:rPr>
            </w:pPr>
            <w:r w:rsidRPr="00E43E35">
              <w:rPr>
                <w:b w:val="0"/>
              </w:rPr>
              <w:t xml:space="preserve">Fiecare ml conține: </w:t>
            </w:r>
          </w:p>
          <w:p w:rsidR="00E43E35" w:rsidRDefault="00E43E35" w:rsidP="00A3008A">
            <w:pPr>
              <w:pStyle w:val="Style1"/>
              <w:ind w:left="0" w:firstLine="0"/>
              <w:jc w:val="both"/>
              <w:rPr>
                <w:b w:val="0"/>
              </w:rPr>
            </w:pPr>
            <w:r w:rsidRPr="00E43E35">
              <w:rPr>
                <w:b w:val="0"/>
              </w:rPr>
              <w:t xml:space="preserve">Substanță activă: </w:t>
            </w:r>
          </w:p>
          <w:p w:rsidR="00E43E35" w:rsidRDefault="00E43E35" w:rsidP="00E43E35">
            <w:pPr>
              <w:pStyle w:val="Style1"/>
              <w:ind w:left="0" w:firstLine="0"/>
              <w:jc w:val="both"/>
              <w:rPr>
                <w:b w:val="0"/>
              </w:rPr>
            </w:pPr>
            <w:r w:rsidRPr="00E43E35">
              <w:rPr>
                <w:b w:val="0"/>
              </w:rPr>
              <w:t xml:space="preserve"> Fluralaner  150</w:t>
            </w:r>
            <w:r>
              <w:rPr>
                <w:b w:val="0"/>
              </w:rPr>
              <w:t xml:space="preserve"> </w:t>
            </w:r>
            <w:r w:rsidRPr="00E43E35">
              <w:rPr>
                <w:b w:val="0"/>
              </w:rPr>
              <w:t xml:space="preserve">mg  Excipients: </w:t>
            </w:r>
          </w:p>
          <w:p w:rsidR="00E43E35" w:rsidRPr="00E43E35" w:rsidRDefault="00E43E35" w:rsidP="00E43E35">
            <w:pPr>
              <w:pStyle w:val="Style1"/>
              <w:ind w:left="0" w:firstLine="0"/>
              <w:jc w:val="both"/>
              <w:rPr>
                <w:b w:val="0"/>
              </w:rPr>
            </w:pPr>
            <w:r w:rsidRPr="00E43E35">
              <w:rPr>
                <w:b w:val="0"/>
              </w:rPr>
              <w:t>Benzyl alcohol               20 mg</w:t>
            </w:r>
          </w:p>
        </w:tc>
      </w:tr>
      <w:tr w:rsidR="00E43E35" w:rsidTr="00E43E35">
        <w:tc>
          <w:tcPr>
            <w:tcW w:w="2405" w:type="dxa"/>
          </w:tcPr>
          <w:p w:rsidR="00E43E35" w:rsidRPr="00E43E35" w:rsidRDefault="00E43E35" w:rsidP="00A3008A">
            <w:pPr>
              <w:pStyle w:val="Style1"/>
              <w:ind w:left="0" w:firstLine="0"/>
              <w:jc w:val="both"/>
              <w:rPr>
                <w:b w:val="0"/>
              </w:rPr>
            </w:pPr>
            <w:r w:rsidRPr="00E43E35">
              <w:rPr>
                <w:b w:val="0"/>
              </w:rPr>
              <w:t>Pulbere albă până la galben pal</w:t>
            </w:r>
          </w:p>
        </w:tc>
        <w:tc>
          <w:tcPr>
            <w:tcW w:w="3254" w:type="dxa"/>
          </w:tcPr>
          <w:p w:rsidR="00E43E35" w:rsidRPr="00E43E35" w:rsidRDefault="00E43E35" w:rsidP="00A3008A">
            <w:pPr>
              <w:pStyle w:val="Style1"/>
              <w:ind w:left="0" w:firstLine="0"/>
              <w:jc w:val="both"/>
              <w:rPr>
                <w:b w:val="0"/>
              </w:rPr>
            </w:pPr>
            <w:r w:rsidRPr="00E43E35">
              <w:rPr>
                <w:b w:val="0"/>
              </w:rPr>
              <w:t>Soluție clară până la opacă.</w:t>
            </w:r>
          </w:p>
        </w:tc>
        <w:tc>
          <w:tcPr>
            <w:tcW w:w="2835" w:type="dxa"/>
          </w:tcPr>
          <w:p w:rsidR="00E43E35" w:rsidRPr="00E43E35" w:rsidRDefault="00E43E35" w:rsidP="00E43E35">
            <w:pPr>
              <w:pStyle w:val="Style1"/>
              <w:ind w:left="0" w:firstLine="0"/>
              <w:jc w:val="both"/>
              <w:rPr>
                <w:b w:val="0"/>
              </w:rPr>
            </w:pPr>
            <w:r w:rsidRPr="00E43E35">
              <w:rPr>
                <w:b w:val="0"/>
              </w:rPr>
              <w:t>Suspensie ușor vâscoasă, opacă</w:t>
            </w:r>
            <w:r>
              <w:rPr>
                <w:b w:val="0"/>
              </w:rPr>
              <w:t xml:space="preserve"> albă până la galben pal.</w:t>
            </w:r>
          </w:p>
        </w:tc>
      </w:tr>
    </w:tbl>
    <w:p w:rsidR="00A3008A" w:rsidRPr="00C32182" w:rsidRDefault="00A3008A" w:rsidP="00A3008A">
      <w:pPr>
        <w:tabs>
          <w:tab w:val="clear" w:pos="567"/>
        </w:tabs>
        <w:spacing w:line="240" w:lineRule="auto"/>
        <w:jc w:val="both"/>
        <w:rPr>
          <w:szCs w:val="22"/>
        </w:rPr>
      </w:pPr>
    </w:p>
    <w:p w:rsidR="00A3008A" w:rsidRPr="00C32182" w:rsidRDefault="00A3008A" w:rsidP="00A3008A">
      <w:pPr>
        <w:pStyle w:val="Style1"/>
        <w:jc w:val="both"/>
      </w:pPr>
      <w:r w:rsidRPr="00C32182">
        <w:rPr>
          <w:highlight w:val="lightGray"/>
        </w:rPr>
        <w:t>3.</w:t>
      </w:r>
      <w:r w:rsidRPr="00C32182">
        <w:tab/>
        <w:t>Specii țintă</w:t>
      </w:r>
    </w:p>
    <w:p w:rsidR="00A3008A" w:rsidRPr="00C32182" w:rsidRDefault="007F6514" w:rsidP="00A3008A">
      <w:pPr>
        <w:tabs>
          <w:tab w:val="clear" w:pos="567"/>
        </w:tabs>
        <w:spacing w:line="240" w:lineRule="auto"/>
        <w:jc w:val="both"/>
        <w:rPr>
          <w:szCs w:val="22"/>
        </w:rPr>
      </w:pPr>
      <w:r w:rsidRPr="007F6514">
        <w:rPr>
          <w:szCs w:val="22"/>
        </w:rPr>
        <w:t>Câini</w:t>
      </w:r>
      <w:r w:rsidR="001D5814">
        <w:rPr>
          <w:szCs w:val="22"/>
        </w:rPr>
        <w:t>.</w:t>
      </w:r>
    </w:p>
    <w:p w:rsidR="00A3008A" w:rsidRPr="00C32182" w:rsidRDefault="00A3008A" w:rsidP="00A3008A">
      <w:pPr>
        <w:tabs>
          <w:tab w:val="clear" w:pos="567"/>
        </w:tabs>
        <w:spacing w:line="240" w:lineRule="auto"/>
        <w:jc w:val="both"/>
        <w:rPr>
          <w:szCs w:val="22"/>
        </w:rPr>
      </w:pPr>
    </w:p>
    <w:p w:rsidR="00A3008A" w:rsidRPr="00C32182" w:rsidRDefault="00A3008A" w:rsidP="00A3008A">
      <w:pPr>
        <w:pStyle w:val="Style1"/>
        <w:jc w:val="both"/>
      </w:pPr>
      <w:r w:rsidRPr="00C32182">
        <w:rPr>
          <w:highlight w:val="lightGray"/>
        </w:rPr>
        <w:t>4.</w:t>
      </w:r>
      <w:r w:rsidRPr="00C32182">
        <w:tab/>
        <w:t>Indicații de utilizare</w:t>
      </w:r>
    </w:p>
    <w:p w:rsidR="00A3008A" w:rsidRPr="00C32182" w:rsidRDefault="00A3008A" w:rsidP="00A3008A">
      <w:pPr>
        <w:tabs>
          <w:tab w:val="clear" w:pos="567"/>
        </w:tabs>
        <w:spacing w:line="240" w:lineRule="auto"/>
        <w:jc w:val="both"/>
        <w:rPr>
          <w:szCs w:val="22"/>
        </w:rPr>
      </w:pPr>
    </w:p>
    <w:p w:rsidR="00E43E35" w:rsidRPr="00E43E35" w:rsidRDefault="00E43E35" w:rsidP="00E43E35">
      <w:pPr>
        <w:tabs>
          <w:tab w:val="clear" w:pos="567"/>
        </w:tabs>
        <w:spacing w:line="240" w:lineRule="auto"/>
        <w:jc w:val="both"/>
        <w:rPr>
          <w:szCs w:val="22"/>
        </w:rPr>
      </w:pPr>
      <w:r w:rsidRPr="00E43E35">
        <w:rPr>
          <w:szCs w:val="22"/>
        </w:rPr>
        <w:t xml:space="preserve">Pentru tratamentul infestațiilor cu căpușe și purici la câini. </w:t>
      </w:r>
    </w:p>
    <w:p w:rsidR="00E43E35" w:rsidRPr="00E43E35" w:rsidRDefault="00E43E35" w:rsidP="00E43E35">
      <w:pPr>
        <w:tabs>
          <w:tab w:val="clear" w:pos="567"/>
        </w:tabs>
        <w:spacing w:line="240" w:lineRule="auto"/>
        <w:jc w:val="both"/>
        <w:rPr>
          <w:szCs w:val="22"/>
        </w:rPr>
      </w:pPr>
      <w:r w:rsidRPr="00E43E35">
        <w:rPr>
          <w:szCs w:val="22"/>
        </w:rPr>
        <w:t xml:space="preserve"> </w:t>
      </w:r>
    </w:p>
    <w:p w:rsidR="00E43E35" w:rsidRDefault="00E43E35" w:rsidP="00E43E35">
      <w:pPr>
        <w:tabs>
          <w:tab w:val="clear" w:pos="567"/>
        </w:tabs>
        <w:spacing w:line="240" w:lineRule="auto"/>
        <w:jc w:val="both"/>
        <w:rPr>
          <w:szCs w:val="22"/>
        </w:rPr>
      </w:pPr>
      <w:r w:rsidRPr="00E43E35">
        <w:rPr>
          <w:szCs w:val="22"/>
        </w:rPr>
        <w:t xml:space="preserve">Acest produs medicinal veterinar este un insecticid și acaricid sistemic care asigură: </w:t>
      </w:r>
    </w:p>
    <w:p w:rsidR="00E43E35" w:rsidRDefault="00E43E35" w:rsidP="00E43E35">
      <w:pPr>
        <w:tabs>
          <w:tab w:val="clear" w:pos="567"/>
        </w:tabs>
        <w:spacing w:line="240" w:lineRule="auto"/>
        <w:jc w:val="both"/>
        <w:rPr>
          <w:szCs w:val="22"/>
        </w:rPr>
      </w:pPr>
      <w:r w:rsidRPr="00E43E35">
        <w:rPr>
          <w:szCs w:val="22"/>
        </w:rPr>
        <w:t>-   activitate imediată și persistentă de ucidere a puricilor (</w:t>
      </w:r>
      <w:r w:rsidRPr="00E22F11">
        <w:rPr>
          <w:i/>
          <w:szCs w:val="22"/>
        </w:rPr>
        <w:t>Ctenocephalides felis</w:t>
      </w:r>
      <w:r w:rsidRPr="00E43E35">
        <w:rPr>
          <w:szCs w:val="22"/>
        </w:rPr>
        <w:t xml:space="preserve"> și </w:t>
      </w:r>
      <w:r w:rsidRPr="00E22F11">
        <w:rPr>
          <w:i/>
          <w:szCs w:val="22"/>
        </w:rPr>
        <w:t>Ctenocephalides canis</w:t>
      </w:r>
      <w:r w:rsidRPr="00E43E35">
        <w:rPr>
          <w:szCs w:val="22"/>
        </w:rPr>
        <w:t xml:space="preserve">) timp de 12 luni  -  activitate persistentă de ucidere a căpușelor de la 3 zile până la 12 luni după tratament  pentru  </w:t>
      </w:r>
      <w:r w:rsidRPr="00E22F11">
        <w:rPr>
          <w:i/>
          <w:szCs w:val="22"/>
        </w:rPr>
        <w:t xml:space="preserve">Ixodes ricinus, Ixodes hexagonus </w:t>
      </w:r>
      <w:r w:rsidRPr="00E22F11">
        <w:rPr>
          <w:szCs w:val="22"/>
        </w:rPr>
        <w:t>și</w:t>
      </w:r>
      <w:r w:rsidRPr="00E22F11">
        <w:rPr>
          <w:i/>
          <w:szCs w:val="22"/>
        </w:rPr>
        <w:t xml:space="preserve"> Dermacentor reticulatus</w:t>
      </w:r>
      <w:r>
        <w:rPr>
          <w:szCs w:val="22"/>
        </w:rPr>
        <w:t>,</w:t>
      </w:r>
    </w:p>
    <w:p w:rsidR="00E43E35" w:rsidRPr="00E43E35" w:rsidRDefault="00E43E35" w:rsidP="00E43E35">
      <w:pPr>
        <w:tabs>
          <w:tab w:val="clear" w:pos="567"/>
        </w:tabs>
        <w:spacing w:line="240" w:lineRule="auto"/>
        <w:jc w:val="both"/>
        <w:rPr>
          <w:szCs w:val="22"/>
        </w:rPr>
      </w:pPr>
      <w:r w:rsidRPr="00E43E35">
        <w:rPr>
          <w:szCs w:val="22"/>
        </w:rPr>
        <w:t xml:space="preserve"> - activitate persistentă de ucidere a căpușelor din ziua 4 timp de 12 luni după tratament pentru </w:t>
      </w:r>
      <w:r w:rsidRPr="00E22F11">
        <w:rPr>
          <w:i/>
          <w:szCs w:val="22"/>
        </w:rPr>
        <w:t>Rhipicephalus sanguineus</w:t>
      </w:r>
      <w:r w:rsidRPr="00E43E35">
        <w:rPr>
          <w:szCs w:val="22"/>
        </w:rPr>
        <w:t xml:space="preserve">. </w:t>
      </w:r>
    </w:p>
    <w:p w:rsidR="00E43E35" w:rsidRPr="00E43E35" w:rsidRDefault="00E43E35" w:rsidP="00E43E35">
      <w:pPr>
        <w:tabs>
          <w:tab w:val="clear" w:pos="567"/>
        </w:tabs>
        <w:spacing w:line="240" w:lineRule="auto"/>
        <w:jc w:val="both"/>
        <w:rPr>
          <w:szCs w:val="22"/>
        </w:rPr>
      </w:pPr>
      <w:r w:rsidRPr="00E43E35">
        <w:rPr>
          <w:szCs w:val="22"/>
        </w:rPr>
        <w:t xml:space="preserve"> </w:t>
      </w:r>
    </w:p>
    <w:p w:rsidR="00E43E35" w:rsidRPr="00E43E35" w:rsidRDefault="00E43E35" w:rsidP="00E43E35">
      <w:pPr>
        <w:tabs>
          <w:tab w:val="clear" w:pos="567"/>
        </w:tabs>
        <w:spacing w:line="240" w:lineRule="auto"/>
        <w:jc w:val="both"/>
        <w:rPr>
          <w:szCs w:val="22"/>
        </w:rPr>
      </w:pPr>
      <w:r w:rsidRPr="00E43E35">
        <w:rPr>
          <w:szCs w:val="22"/>
        </w:rPr>
        <w:t xml:space="preserve">Puricii și căpușele trebuie să se atașeze de gazdă și să înceapă să se hrănească pentru a fi expuse la substanța activă. </w:t>
      </w:r>
    </w:p>
    <w:p w:rsidR="00E43E35" w:rsidRPr="00E43E35" w:rsidRDefault="00E43E35" w:rsidP="00E43E35">
      <w:pPr>
        <w:tabs>
          <w:tab w:val="clear" w:pos="567"/>
        </w:tabs>
        <w:spacing w:line="240" w:lineRule="auto"/>
        <w:jc w:val="both"/>
        <w:rPr>
          <w:szCs w:val="22"/>
        </w:rPr>
      </w:pPr>
      <w:r w:rsidRPr="00E43E35">
        <w:rPr>
          <w:szCs w:val="22"/>
        </w:rPr>
        <w:t xml:space="preserve">Produsul medicinal veterinar poate fi utilizat ca parte a unei strategii de tratament pentru controlul dermatitei alergice la purici (DAP). </w:t>
      </w:r>
    </w:p>
    <w:p w:rsidR="00465BC2" w:rsidRDefault="00E43E35" w:rsidP="00E43E35">
      <w:pPr>
        <w:tabs>
          <w:tab w:val="clear" w:pos="567"/>
        </w:tabs>
        <w:spacing w:line="240" w:lineRule="auto"/>
        <w:jc w:val="both"/>
        <w:rPr>
          <w:szCs w:val="22"/>
        </w:rPr>
      </w:pPr>
      <w:r w:rsidRPr="00E43E35">
        <w:rPr>
          <w:szCs w:val="22"/>
        </w:rPr>
        <w:t xml:space="preserve">Pentru reducerea riscului de infecție cu Babesia canis canis prin transmitere de către </w:t>
      </w:r>
      <w:r w:rsidRPr="00E22F11">
        <w:rPr>
          <w:i/>
          <w:szCs w:val="22"/>
        </w:rPr>
        <w:t>Dermacentor reticulatus</w:t>
      </w:r>
      <w:r w:rsidRPr="00E43E35">
        <w:rPr>
          <w:szCs w:val="22"/>
        </w:rPr>
        <w:t xml:space="preserve"> începând cu a treia zi după tratament și până la 12 luni. </w:t>
      </w:r>
    </w:p>
    <w:p w:rsidR="00E43E35" w:rsidRPr="00E43E35" w:rsidRDefault="00E43E35" w:rsidP="00E43E35">
      <w:pPr>
        <w:tabs>
          <w:tab w:val="clear" w:pos="567"/>
        </w:tabs>
        <w:spacing w:line="240" w:lineRule="auto"/>
        <w:jc w:val="both"/>
        <w:rPr>
          <w:szCs w:val="22"/>
        </w:rPr>
      </w:pPr>
      <w:r w:rsidRPr="00E43E35">
        <w:rPr>
          <w:szCs w:val="22"/>
        </w:rPr>
        <w:t xml:space="preserve">Efectul este indirect datorită activității produsului medicinal  veterinar împotriva vectorului. </w:t>
      </w:r>
    </w:p>
    <w:p w:rsidR="00E43E35" w:rsidRDefault="00E43E35" w:rsidP="00E43E35">
      <w:pPr>
        <w:tabs>
          <w:tab w:val="clear" w:pos="567"/>
        </w:tabs>
        <w:spacing w:line="240" w:lineRule="auto"/>
        <w:jc w:val="both"/>
        <w:rPr>
          <w:szCs w:val="22"/>
        </w:rPr>
      </w:pPr>
      <w:r w:rsidRPr="00E43E35">
        <w:rPr>
          <w:szCs w:val="22"/>
        </w:rPr>
        <w:t xml:space="preserve">Pentru reducerea riscului de infecție cu </w:t>
      </w:r>
      <w:r w:rsidRPr="00E22F11">
        <w:rPr>
          <w:i/>
          <w:szCs w:val="22"/>
        </w:rPr>
        <w:t>Dipylidium caninum</w:t>
      </w:r>
      <w:r w:rsidRPr="00E43E35">
        <w:rPr>
          <w:szCs w:val="22"/>
        </w:rPr>
        <w:t xml:space="preserve"> prin transmitere de către </w:t>
      </w:r>
      <w:r w:rsidRPr="00E22F11">
        <w:rPr>
          <w:i/>
          <w:szCs w:val="22"/>
        </w:rPr>
        <w:t>Ctenocephalides felis</w:t>
      </w:r>
      <w:r w:rsidRPr="00E43E35">
        <w:rPr>
          <w:szCs w:val="22"/>
        </w:rPr>
        <w:t xml:space="preserve"> timp de până la 12 luni. Efectul este indirect datorită activității produsului medicinal v</w:t>
      </w:r>
      <w:r w:rsidR="00465BC2">
        <w:rPr>
          <w:szCs w:val="22"/>
        </w:rPr>
        <w:t xml:space="preserve">eterinar împotriva vectorului. </w:t>
      </w:r>
    </w:p>
    <w:p w:rsidR="00E43E35" w:rsidRPr="00C32182" w:rsidRDefault="00E43E35" w:rsidP="00A3008A">
      <w:pPr>
        <w:tabs>
          <w:tab w:val="clear" w:pos="567"/>
        </w:tabs>
        <w:spacing w:line="240" w:lineRule="auto"/>
        <w:jc w:val="both"/>
        <w:rPr>
          <w:szCs w:val="22"/>
        </w:rPr>
      </w:pPr>
    </w:p>
    <w:p w:rsidR="00A3008A" w:rsidRPr="00C32182" w:rsidRDefault="00A3008A" w:rsidP="00A3008A">
      <w:pPr>
        <w:pStyle w:val="Style1"/>
        <w:jc w:val="both"/>
      </w:pPr>
      <w:r w:rsidRPr="00C32182">
        <w:rPr>
          <w:highlight w:val="lightGray"/>
        </w:rPr>
        <w:t>5.</w:t>
      </w:r>
      <w:r w:rsidRPr="00C32182">
        <w:tab/>
        <w:t>Contraindicații</w:t>
      </w:r>
    </w:p>
    <w:p w:rsidR="00A3008A" w:rsidRPr="00C32182" w:rsidRDefault="007F6514" w:rsidP="00A3008A">
      <w:pPr>
        <w:tabs>
          <w:tab w:val="clear" w:pos="567"/>
        </w:tabs>
        <w:spacing w:line="240" w:lineRule="auto"/>
        <w:jc w:val="both"/>
        <w:rPr>
          <w:szCs w:val="22"/>
        </w:rPr>
      </w:pPr>
      <w:r w:rsidRPr="007F6514">
        <w:rPr>
          <w:szCs w:val="22"/>
        </w:rPr>
        <w:t>Nu se utilizează în caz de hipersensibilitate la substanţa activă sau la oricare dintre excipienţi.</w:t>
      </w:r>
    </w:p>
    <w:p w:rsidR="00A3008A" w:rsidRPr="00C32182" w:rsidRDefault="00A3008A" w:rsidP="00A3008A">
      <w:pPr>
        <w:tabs>
          <w:tab w:val="clear" w:pos="567"/>
        </w:tabs>
        <w:spacing w:line="240" w:lineRule="auto"/>
        <w:jc w:val="both"/>
        <w:rPr>
          <w:szCs w:val="22"/>
        </w:rPr>
      </w:pPr>
    </w:p>
    <w:p w:rsidR="00A3008A" w:rsidRPr="00C32182" w:rsidRDefault="00A3008A" w:rsidP="00A3008A">
      <w:pPr>
        <w:pStyle w:val="Style1"/>
        <w:jc w:val="both"/>
      </w:pPr>
      <w:r w:rsidRPr="00C32182">
        <w:rPr>
          <w:highlight w:val="lightGray"/>
        </w:rPr>
        <w:t>6.</w:t>
      </w:r>
      <w:r w:rsidRPr="00C32182">
        <w:tab/>
        <w:t>Atenționări speciale</w:t>
      </w:r>
    </w:p>
    <w:p w:rsidR="00465BC2" w:rsidRDefault="00465BC2" w:rsidP="00465BC2">
      <w:pPr>
        <w:tabs>
          <w:tab w:val="clear" w:pos="567"/>
        </w:tabs>
        <w:spacing w:line="240" w:lineRule="auto"/>
        <w:jc w:val="both"/>
        <w:rPr>
          <w:szCs w:val="22"/>
        </w:rPr>
      </w:pPr>
      <w:r w:rsidRPr="00465BC2">
        <w:rPr>
          <w:szCs w:val="22"/>
        </w:rPr>
        <w:t xml:space="preserve">Paraziții trebuie să înceapă să se hrănească pe gazdă pentru a fi expuși la fluralaner; prin urmare, riscul de transmitere a bolilor transmise de paraziți (inclusiv </w:t>
      </w:r>
      <w:r w:rsidRPr="00E22F11">
        <w:rPr>
          <w:i/>
          <w:szCs w:val="22"/>
        </w:rPr>
        <w:t xml:space="preserve">Babesia canis canis </w:t>
      </w:r>
      <w:r w:rsidRPr="00E22F11">
        <w:rPr>
          <w:szCs w:val="22"/>
        </w:rPr>
        <w:t xml:space="preserve">și </w:t>
      </w:r>
      <w:r w:rsidRPr="00E22F11">
        <w:rPr>
          <w:i/>
          <w:szCs w:val="22"/>
        </w:rPr>
        <w:t>D. caninum</w:t>
      </w:r>
      <w:r w:rsidRPr="00465BC2">
        <w:rPr>
          <w:szCs w:val="22"/>
        </w:rPr>
        <w:t xml:space="preserve">) nu poate fi complet exclus. </w:t>
      </w:r>
    </w:p>
    <w:p w:rsidR="00465BC2" w:rsidRPr="00465BC2" w:rsidRDefault="00465BC2" w:rsidP="00465BC2">
      <w:pPr>
        <w:tabs>
          <w:tab w:val="clear" w:pos="567"/>
        </w:tabs>
        <w:spacing w:line="240" w:lineRule="auto"/>
        <w:jc w:val="both"/>
        <w:rPr>
          <w:szCs w:val="22"/>
        </w:rPr>
      </w:pPr>
      <w:r w:rsidRPr="00465BC2">
        <w:rPr>
          <w:szCs w:val="22"/>
        </w:rPr>
        <w:t xml:space="preserve">Utilizarea inutilă a antiparazitarelor sau utilizarea care se abate de la instrucțiunile date, poate crește presiunea de selecție a rezistenței și poate duce la o eficacitate redusă. Decizia de a utiliza produsul medicinal veterinar trebuie să se bazeze pe confirmarea speciilor de paraziți și a prevalenței, sau a riscului de infestare pe baza caracteristicilor sale epidemiologice (având în vedere durata efectului produsului de 12 luni), pentru fiecare animal în parte. </w:t>
      </w:r>
    </w:p>
    <w:p w:rsidR="00A3008A" w:rsidRPr="00465BC2" w:rsidRDefault="00465BC2" w:rsidP="00465BC2">
      <w:pPr>
        <w:tabs>
          <w:tab w:val="clear" w:pos="567"/>
        </w:tabs>
        <w:spacing w:line="240" w:lineRule="auto"/>
        <w:jc w:val="both"/>
        <w:rPr>
          <w:szCs w:val="22"/>
        </w:rPr>
      </w:pPr>
      <w:r w:rsidRPr="00465BC2">
        <w:rPr>
          <w:szCs w:val="22"/>
        </w:rPr>
        <w:t>Ar trebui să se ia în considerare posibilitatea ca alte animale din aceeași gospodărie să fie o sursă de reinfectare cu paraziți, iar acestea ar trebui tratate, după caz, cu un produs medicinal veterinar adecvat.</w:t>
      </w:r>
    </w:p>
    <w:p w:rsidR="00465BC2" w:rsidRDefault="00465BC2" w:rsidP="00A3008A">
      <w:pPr>
        <w:tabs>
          <w:tab w:val="clear" w:pos="567"/>
        </w:tabs>
        <w:spacing w:line="240" w:lineRule="auto"/>
        <w:jc w:val="both"/>
        <w:rPr>
          <w:szCs w:val="22"/>
          <w:u w:val="single"/>
        </w:rPr>
      </w:pPr>
    </w:p>
    <w:p w:rsidR="00465BC2" w:rsidRDefault="00465BC2" w:rsidP="00465BC2">
      <w:pPr>
        <w:tabs>
          <w:tab w:val="clear" w:pos="567"/>
        </w:tabs>
        <w:spacing w:line="240" w:lineRule="auto"/>
        <w:jc w:val="both"/>
        <w:rPr>
          <w:szCs w:val="22"/>
          <w:u w:val="single"/>
        </w:rPr>
      </w:pPr>
      <w:r w:rsidRPr="00465BC2">
        <w:rPr>
          <w:szCs w:val="22"/>
          <w:u w:val="single"/>
        </w:rPr>
        <w:lastRenderedPageBreak/>
        <w:t xml:space="preserve">Precauții speciale pentru utilizarea în siguranță la speciile țintă: </w:t>
      </w:r>
    </w:p>
    <w:p w:rsidR="00465BC2" w:rsidRPr="00465BC2" w:rsidRDefault="00465BC2" w:rsidP="00465BC2">
      <w:pPr>
        <w:tabs>
          <w:tab w:val="clear" w:pos="567"/>
        </w:tabs>
        <w:spacing w:line="240" w:lineRule="auto"/>
        <w:jc w:val="both"/>
        <w:rPr>
          <w:szCs w:val="22"/>
        </w:rPr>
      </w:pPr>
      <w:r w:rsidRPr="00465BC2">
        <w:rPr>
          <w:szCs w:val="22"/>
        </w:rPr>
        <w:t xml:space="preserve">Siguranța produsului nu a fost evaluată la câinii cu epilepsie preexistentă. Prin urmare, utilizați cu precauție la astfel de câini pe baza unei evaluări beneficiu/risc efectuată de către medicul veterinar responsabil. În absența datelor disponibile, produsului medicinal veterinar nu trebuie utilizat la câini cu vârsta mai mică de 6 luni. </w:t>
      </w:r>
    </w:p>
    <w:p w:rsidR="00465BC2" w:rsidRPr="00465BC2" w:rsidRDefault="00465BC2" w:rsidP="00465BC2">
      <w:pPr>
        <w:tabs>
          <w:tab w:val="clear" w:pos="567"/>
        </w:tabs>
        <w:spacing w:line="240" w:lineRule="auto"/>
        <w:jc w:val="both"/>
        <w:rPr>
          <w:szCs w:val="22"/>
          <w:u w:val="single"/>
        </w:rPr>
      </w:pPr>
      <w:r w:rsidRPr="00465BC2">
        <w:rPr>
          <w:szCs w:val="22"/>
          <w:u w:val="single"/>
        </w:rPr>
        <w:t xml:space="preserve"> </w:t>
      </w:r>
    </w:p>
    <w:p w:rsidR="00465BC2" w:rsidRDefault="00465BC2" w:rsidP="00465BC2">
      <w:pPr>
        <w:tabs>
          <w:tab w:val="clear" w:pos="567"/>
        </w:tabs>
        <w:spacing w:line="240" w:lineRule="auto"/>
        <w:jc w:val="both"/>
        <w:rPr>
          <w:szCs w:val="22"/>
          <w:u w:val="single"/>
        </w:rPr>
      </w:pPr>
      <w:r w:rsidRPr="00465BC2">
        <w:rPr>
          <w:szCs w:val="22"/>
          <w:u w:val="single"/>
        </w:rPr>
        <w:t xml:space="preserve">Precauții speciale care trebuie luate de către persoana care administrează produsul medicinal veterinar la animale: </w:t>
      </w:r>
    </w:p>
    <w:p w:rsidR="00465BC2" w:rsidRPr="00465BC2" w:rsidRDefault="00465BC2" w:rsidP="00465BC2">
      <w:pPr>
        <w:tabs>
          <w:tab w:val="clear" w:pos="567"/>
        </w:tabs>
        <w:spacing w:line="240" w:lineRule="auto"/>
        <w:jc w:val="both"/>
        <w:rPr>
          <w:szCs w:val="22"/>
        </w:rPr>
      </w:pPr>
      <w:r w:rsidRPr="00465BC2">
        <w:rPr>
          <w:szCs w:val="22"/>
        </w:rPr>
        <w:t xml:space="preserve">Au fost raportate și reacții de hipersensibilitate la fluralaner sau alcool benzilic la oameni, care pot fi grave. De asemenea, s-au raportat reacții la locul injectării produsului la animale. Trebuie avut grijă pentru a evita auto-injectarea accidentală și expunerea dermică atunci când se administrează acest produs medicinal veterinar. În cazul autoinjectării accidentale cu efecte adverse, reacții de hipersensibilitate sau reacții la locul injectării la oameni, contactați un medic și arătați eticheta sau prospectul. Spălați-vă mâinile după utilizare. Acest produs medicinal veterinar trebuie administrat numai de către medici veterinari sau sub supravegherea atentă a acestora. </w:t>
      </w:r>
    </w:p>
    <w:p w:rsidR="00465BC2" w:rsidRPr="00465BC2" w:rsidRDefault="00465BC2" w:rsidP="00465BC2">
      <w:pPr>
        <w:tabs>
          <w:tab w:val="clear" w:pos="567"/>
        </w:tabs>
        <w:spacing w:line="240" w:lineRule="auto"/>
        <w:jc w:val="both"/>
        <w:rPr>
          <w:szCs w:val="22"/>
          <w:u w:val="single"/>
        </w:rPr>
      </w:pPr>
      <w:r w:rsidRPr="00465BC2">
        <w:rPr>
          <w:szCs w:val="22"/>
          <w:u w:val="single"/>
        </w:rPr>
        <w:t xml:space="preserve"> </w:t>
      </w:r>
    </w:p>
    <w:p w:rsidR="00465BC2" w:rsidRDefault="00465BC2" w:rsidP="00465BC2">
      <w:pPr>
        <w:tabs>
          <w:tab w:val="clear" w:pos="567"/>
        </w:tabs>
        <w:spacing w:line="240" w:lineRule="auto"/>
        <w:jc w:val="both"/>
        <w:rPr>
          <w:szCs w:val="22"/>
          <w:u w:val="single"/>
        </w:rPr>
      </w:pPr>
      <w:r w:rsidRPr="00465BC2">
        <w:rPr>
          <w:szCs w:val="22"/>
          <w:u w:val="single"/>
        </w:rPr>
        <w:t xml:space="preserve">Precauții speciale pentru protecția mediului: </w:t>
      </w:r>
    </w:p>
    <w:p w:rsidR="00465BC2" w:rsidRPr="00465BC2" w:rsidRDefault="00465BC2" w:rsidP="00465BC2">
      <w:pPr>
        <w:tabs>
          <w:tab w:val="clear" w:pos="567"/>
        </w:tabs>
        <w:spacing w:line="240" w:lineRule="auto"/>
        <w:jc w:val="both"/>
        <w:rPr>
          <w:szCs w:val="22"/>
        </w:rPr>
      </w:pPr>
      <w:r w:rsidRPr="00465BC2">
        <w:rPr>
          <w:szCs w:val="22"/>
        </w:rPr>
        <w:t xml:space="preserve">Nu este cazul.  </w:t>
      </w:r>
    </w:p>
    <w:p w:rsidR="00465BC2" w:rsidRDefault="00465BC2" w:rsidP="00A3008A">
      <w:pPr>
        <w:tabs>
          <w:tab w:val="clear" w:pos="567"/>
        </w:tabs>
        <w:spacing w:line="240" w:lineRule="auto"/>
        <w:jc w:val="both"/>
        <w:rPr>
          <w:szCs w:val="22"/>
          <w:u w:val="single"/>
        </w:rPr>
      </w:pPr>
    </w:p>
    <w:p w:rsidR="001D5814" w:rsidRDefault="001D5814" w:rsidP="00A3008A">
      <w:pPr>
        <w:tabs>
          <w:tab w:val="clear" w:pos="567"/>
        </w:tabs>
        <w:spacing w:line="240" w:lineRule="auto"/>
        <w:jc w:val="both"/>
        <w:rPr>
          <w:szCs w:val="22"/>
          <w:u w:val="single"/>
        </w:rPr>
      </w:pPr>
      <w:r w:rsidRPr="001D5814">
        <w:rPr>
          <w:szCs w:val="22"/>
          <w:u w:val="single"/>
        </w:rPr>
        <w:t>Utilizare în perioada de gestaţie, lactaţie</w:t>
      </w:r>
      <w:r w:rsidR="005A47B2">
        <w:rPr>
          <w:szCs w:val="22"/>
          <w:u w:val="single"/>
        </w:rPr>
        <w:t xml:space="preserve"> și ouat</w:t>
      </w:r>
      <w:r>
        <w:rPr>
          <w:szCs w:val="22"/>
          <w:u w:val="single"/>
        </w:rPr>
        <w:t>:</w:t>
      </w:r>
      <w:r w:rsidRPr="001D5814">
        <w:rPr>
          <w:szCs w:val="22"/>
          <w:u w:val="single"/>
        </w:rPr>
        <w:t xml:space="preserve"> </w:t>
      </w:r>
    </w:p>
    <w:p w:rsidR="00465BC2" w:rsidRPr="00465BC2" w:rsidRDefault="00465BC2" w:rsidP="00465BC2">
      <w:pPr>
        <w:tabs>
          <w:tab w:val="clear" w:pos="567"/>
        </w:tabs>
        <w:spacing w:line="240" w:lineRule="auto"/>
        <w:jc w:val="both"/>
        <w:rPr>
          <w:szCs w:val="22"/>
        </w:rPr>
      </w:pPr>
      <w:r w:rsidRPr="00465BC2">
        <w:rPr>
          <w:szCs w:val="22"/>
        </w:rPr>
        <w:t>Siguranța produsului medicinal veterinar nu a fost stabilită în timpul gestației și lactației.  Se utilizează numai în conformitate cu evaluarea beneficiu-risc efectuată de medicul veterinar responsabil.</w:t>
      </w:r>
    </w:p>
    <w:p w:rsidR="001D5814" w:rsidRDefault="001D5814" w:rsidP="00A3008A">
      <w:pPr>
        <w:tabs>
          <w:tab w:val="clear" w:pos="567"/>
        </w:tabs>
        <w:spacing w:line="240" w:lineRule="auto"/>
        <w:jc w:val="both"/>
        <w:rPr>
          <w:szCs w:val="22"/>
          <w:u w:val="single"/>
        </w:rPr>
      </w:pPr>
    </w:p>
    <w:p w:rsidR="001D5814" w:rsidRDefault="00A3008A" w:rsidP="001D5814">
      <w:pPr>
        <w:jc w:val="both"/>
      </w:pPr>
      <w:r w:rsidRPr="001D5814">
        <w:rPr>
          <w:szCs w:val="22"/>
          <w:u w:val="single"/>
        </w:rPr>
        <w:t>Interacțiunea cu alte medicamente de uz veterinar și alte forme de interacțiune</w:t>
      </w:r>
      <w:r w:rsidR="001D5814">
        <w:rPr>
          <w:szCs w:val="22"/>
        </w:rPr>
        <w:t>:</w:t>
      </w:r>
      <w:r w:rsidR="001D5814" w:rsidRPr="001D5814">
        <w:t xml:space="preserve"> </w:t>
      </w:r>
    </w:p>
    <w:p w:rsidR="00465BC2" w:rsidRDefault="00465BC2" w:rsidP="001D5814">
      <w:pPr>
        <w:jc w:val="both"/>
        <w:rPr>
          <w:szCs w:val="22"/>
        </w:rPr>
      </w:pPr>
      <w:r w:rsidRPr="00465BC2">
        <w:rPr>
          <w:szCs w:val="22"/>
        </w:rPr>
        <w:t>Fluralanerul este puternic legat de proteinele plasmatice și ar putea concura cu alte substanțe active puternic legate, cum ar fi medicamentele antiinflamatoare nesteroidiene (AINS) și derivatul cumarinic warfarină. Incubarea fluralanerului în prezența carprofenului sau a warfarinei în plasma de câine la concentrațiile plasmatice maxime preconizate nu a redus legarea la proteine a fluralanerului, carprofenului sau warfarinei. În timpul testelor clinice pe teren, nu au fost observate interacțiuni între produsul medicinal de uz veterinar și produsele medicinale de uz veterinar utilizate în mod curent</w:t>
      </w:r>
      <w:r>
        <w:rPr>
          <w:szCs w:val="22"/>
        </w:rPr>
        <w:t>.</w:t>
      </w:r>
    </w:p>
    <w:p w:rsidR="00465BC2" w:rsidRDefault="00465BC2" w:rsidP="001D5814">
      <w:pPr>
        <w:jc w:val="both"/>
        <w:rPr>
          <w:szCs w:val="22"/>
        </w:rPr>
      </w:pPr>
    </w:p>
    <w:p w:rsidR="00A3008A" w:rsidRPr="00C32182" w:rsidRDefault="00A3008A" w:rsidP="00A3008A">
      <w:pPr>
        <w:tabs>
          <w:tab w:val="clear" w:pos="567"/>
        </w:tabs>
        <w:spacing w:line="240" w:lineRule="auto"/>
        <w:jc w:val="both"/>
        <w:rPr>
          <w:szCs w:val="22"/>
        </w:rPr>
      </w:pPr>
      <w:r w:rsidRPr="00C32182">
        <w:rPr>
          <w:szCs w:val="22"/>
          <w:u w:val="single"/>
        </w:rPr>
        <w:t>Supradozare</w:t>
      </w:r>
      <w:r w:rsidR="001D5814">
        <w:rPr>
          <w:szCs w:val="22"/>
        </w:rPr>
        <w:t>:</w:t>
      </w:r>
    </w:p>
    <w:p w:rsidR="00465BC2" w:rsidRPr="00465BC2" w:rsidRDefault="00465BC2" w:rsidP="00465BC2">
      <w:pPr>
        <w:tabs>
          <w:tab w:val="clear" w:pos="567"/>
        </w:tabs>
        <w:spacing w:line="240" w:lineRule="auto"/>
        <w:jc w:val="both"/>
        <w:rPr>
          <w:szCs w:val="22"/>
        </w:rPr>
      </w:pPr>
      <w:r w:rsidRPr="00465BC2">
        <w:rPr>
          <w:szCs w:val="22"/>
        </w:rPr>
        <w:t>În urma administrării subcutanate a de 3 și 5 ori doza recomandată de 15 mg de fluralaner/kg de greutate corporală la fiecare 4 luni, pentru un total de 6 doze (zilele 1, 120, 239, 358, 477 și 596) la puii de câine în vârstă de 6 luni, singura constatare legată de tratament s-a limitat la umflături la locul de inject</w:t>
      </w:r>
      <w:r>
        <w:rPr>
          <w:szCs w:val="22"/>
        </w:rPr>
        <w:t xml:space="preserve">are, care au dispărut în timp. </w:t>
      </w:r>
      <w:r w:rsidRPr="00465BC2">
        <w:rPr>
          <w:szCs w:val="22"/>
        </w:rPr>
        <w:t xml:space="preserve"> </w:t>
      </w:r>
    </w:p>
    <w:p w:rsidR="00465BC2" w:rsidRPr="00465BC2" w:rsidRDefault="00465BC2" w:rsidP="00465BC2">
      <w:pPr>
        <w:tabs>
          <w:tab w:val="clear" w:pos="567"/>
        </w:tabs>
        <w:spacing w:line="240" w:lineRule="auto"/>
        <w:jc w:val="both"/>
        <w:rPr>
          <w:szCs w:val="22"/>
        </w:rPr>
      </w:pPr>
      <w:r w:rsidRPr="00465BC2">
        <w:rPr>
          <w:szCs w:val="22"/>
        </w:rPr>
        <w:t>Substanța activă fluralaner a fost bine tolerată la Collie cu o proteină 1 de multirezistență la medicamente deficientă (MDR1 -/-) în urma unei singure administrări orale la o doză de 3 ori mai mare decât doza maximă recomandată (168 mg/kg greutate corporală). Deoarece expunerea sistemică maximă la fluralaner după administrarea subcutanată nu este mai mare în comparație cu administrarea orală, injectarea subcutanată a produsului medicinal veterinar este considerată sigură la câinii cu MDR1(-/-).</w:t>
      </w:r>
    </w:p>
    <w:p w:rsidR="00465BC2" w:rsidRDefault="00465BC2" w:rsidP="00A3008A">
      <w:pPr>
        <w:tabs>
          <w:tab w:val="clear" w:pos="567"/>
        </w:tabs>
        <w:spacing w:line="240" w:lineRule="auto"/>
        <w:jc w:val="both"/>
        <w:rPr>
          <w:szCs w:val="22"/>
          <w:u w:val="single"/>
        </w:rPr>
      </w:pPr>
    </w:p>
    <w:p w:rsidR="00A3008A" w:rsidRPr="00C32182" w:rsidRDefault="00A3008A" w:rsidP="00A3008A">
      <w:pPr>
        <w:tabs>
          <w:tab w:val="clear" w:pos="567"/>
        </w:tabs>
        <w:spacing w:line="240" w:lineRule="auto"/>
        <w:jc w:val="both"/>
        <w:rPr>
          <w:szCs w:val="22"/>
        </w:rPr>
      </w:pPr>
      <w:r w:rsidRPr="00C32182">
        <w:rPr>
          <w:szCs w:val="22"/>
          <w:u w:val="single"/>
        </w:rPr>
        <w:t>Incompatibilități majore</w:t>
      </w:r>
      <w:r w:rsidR="001D5814">
        <w:rPr>
          <w:szCs w:val="22"/>
        </w:rPr>
        <w:t>:</w:t>
      </w:r>
    </w:p>
    <w:p w:rsidR="00A3008A" w:rsidRPr="00465BC2" w:rsidRDefault="00465BC2" w:rsidP="00465BC2">
      <w:pPr>
        <w:pStyle w:val="Style1"/>
        <w:ind w:left="0"/>
        <w:jc w:val="both"/>
        <w:rPr>
          <w:b w:val="0"/>
        </w:rPr>
      </w:pPr>
      <w:r>
        <w:rPr>
          <w:b w:val="0"/>
        </w:rPr>
        <w:tab/>
      </w:r>
      <w:r w:rsidRPr="00465BC2">
        <w:rPr>
          <w:b w:val="0"/>
        </w:rPr>
        <w:t>În lipsa studiilor de compatibilitate, acest produs medicinal veterin</w:t>
      </w:r>
      <w:r>
        <w:rPr>
          <w:b w:val="0"/>
        </w:rPr>
        <w:t xml:space="preserve">ar nu trebuie amestecat cu alte </w:t>
      </w:r>
      <w:r w:rsidRPr="00465BC2">
        <w:rPr>
          <w:b w:val="0"/>
        </w:rPr>
        <w:t>produse medicinale veterinare.</w:t>
      </w:r>
    </w:p>
    <w:p w:rsidR="00BE081F" w:rsidRPr="001D5814" w:rsidRDefault="00BE081F" w:rsidP="00A3008A">
      <w:pPr>
        <w:pStyle w:val="Style1"/>
        <w:jc w:val="both"/>
        <w:rPr>
          <w:b w:val="0"/>
        </w:rPr>
      </w:pPr>
    </w:p>
    <w:p w:rsidR="00A3008A" w:rsidRPr="00C32182" w:rsidRDefault="00A3008A" w:rsidP="00A3008A">
      <w:pPr>
        <w:pStyle w:val="Style1"/>
        <w:jc w:val="both"/>
      </w:pPr>
      <w:r w:rsidRPr="00C32182">
        <w:t>Evenimente adverse</w:t>
      </w:r>
    </w:p>
    <w:p w:rsidR="001D5814" w:rsidRDefault="001D5814" w:rsidP="001D5814">
      <w:pPr>
        <w:tabs>
          <w:tab w:val="clear" w:pos="567"/>
        </w:tabs>
        <w:spacing w:line="240" w:lineRule="auto"/>
        <w:jc w:val="both"/>
        <w:rPr>
          <w:iCs/>
          <w:szCs w:val="22"/>
        </w:rPr>
      </w:pPr>
      <w:r w:rsidRPr="001D5814">
        <w:rPr>
          <w:iCs/>
          <w:szCs w:val="22"/>
        </w:rPr>
        <w:t>Câini</w:t>
      </w:r>
    </w:p>
    <w:tbl>
      <w:tblPr>
        <w:tblStyle w:val="a6"/>
        <w:tblW w:w="0" w:type="auto"/>
        <w:tblLook w:val="04A0" w:firstRow="1" w:lastRow="0" w:firstColumn="1" w:lastColumn="0" w:noHBand="0" w:noVBand="1"/>
      </w:tblPr>
      <w:tblGrid>
        <w:gridCol w:w="5807"/>
        <w:gridCol w:w="3254"/>
      </w:tblGrid>
      <w:tr w:rsidR="00465BC2" w:rsidTr="00AD4648">
        <w:tc>
          <w:tcPr>
            <w:tcW w:w="5807" w:type="dxa"/>
          </w:tcPr>
          <w:p w:rsidR="00465BC2" w:rsidRDefault="00465BC2" w:rsidP="001D5814">
            <w:pPr>
              <w:tabs>
                <w:tab w:val="clear" w:pos="567"/>
              </w:tabs>
              <w:spacing w:line="240" w:lineRule="auto"/>
              <w:jc w:val="both"/>
              <w:rPr>
                <w:iCs/>
                <w:szCs w:val="22"/>
              </w:rPr>
            </w:pPr>
            <w:r w:rsidRPr="00465BC2">
              <w:rPr>
                <w:iCs/>
                <w:szCs w:val="22"/>
              </w:rPr>
              <w:t xml:space="preserve">Frecvente </w:t>
            </w:r>
          </w:p>
          <w:p w:rsidR="00465BC2" w:rsidRDefault="00465BC2" w:rsidP="001D5814">
            <w:pPr>
              <w:tabs>
                <w:tab w:val="clear" w:pos="567"/>
              </w:tabs>
              <w:spacing w:line="240" w:lineRule="auto"/>
              <w:jc w:val="both"/>
              <w:rPr>
                <w:iCs/>
                <w:szCs w:val="22"/>
              </w:rPr>
            </w:pPr>
            <w:r w:rsidRPr="00465BC2">
              <w:rPr>
                <w:iCs/>
                <w:szCs w:val="22"/>
              </w:rPr>
              <w:t>(1 până la 10 animale / 100 de animale tratate):</w:t>
            </w:r>
          </w:p>
        </w:tc>
        <w:tc>
          <w:tcPr>
            <w:tcW w:w="3254" w:type="dxa"/>
          </w:tcPr>
          <w:p w:rsidR="00465BC2" w:rsidRPr="00465BC2" w:rsidRDefault="00465BC2" w:rsidP="001D5814">
            <w:pPr>
              <w:tabs>
                <w:tab w:val="clear" w:pos="567"/>
              </w:tabs>
              <w:spacing w:line="240" w:lineRule="auto"/>
              <w:jc w:val="both"/>
              <w:rPr>
                <w:iCs/>
                <w:szCs w:val="22"/>
                <w:vertAlign w:val="superscript"/>
              </w:rPr>
            </w:pPr>
            <w:r>
              <w:rPr>
                <w:iCs/>
                <w:szCs w:val="22"/>
              </w:rPr>
              <w:t>Umflături la locul injectării</w:t>
            </w:r>
            <w:r>
              <w:rPr>
                <w:iCs/>
                <w:szCs w:val="22"/>
                <w:vertAlign w:val="superscript"/>
              </w:rPr>
              <w:t>1</w:t>
            </w:r>
          </w:p>
        </w:tc>
      </w:tr>
      <w:tr w:rsidR="00465BC2" w:rsidTr="00AD4648">
        <w:tc>
          <w:tcPr>
            <w:tcW w:w="5807" w:type="dxa"/>
          </w:tcPr>
          <w:p w:rsidR="00AD4648" w:rsidRDefault="00465BC2" w:rsidP="001D5814">
            <w:pPr>
              <w:tabs>
                <w:tab w:val="clear" w:pos="567"/>
              </w:tabs>
              <w:spacing w:line="240" w:lineRule="auto"/>
              <w:jc w:val="both"/>
              <w:rPr>
                <w:iCs/>
                <w:szCs w:val="22"/>
              </w:rPr>
            </w:pPr>
            <w:r w:rsidRPr="00465BC2">
              <w:rPr>
                <w:iCs/>
                <w:szCs w:val="22"/>
              </w:rPr>
              <w:t>Mai puțin frecvente</w:t>
            </w:r>
          </w:p>
          <w:p w:rsidR="00465BC2" w:rsidRDefault="00465BC2" w:rsidP="001D5814">
            <w:pPr>
              <w:tabs>
                <w:tab w:val="clear" w:pos="567"/>
              </w:tabs>
              <w:spacing w:line="240" w:lineRule="auto"/>
              <w:jc w:val="both"/>
              <w:rPr>
                <w:iCs/>
                <w:szCs w:val="22"/>
              </w:rPr>
            </w:pPr>
            <w:r w:rsidRPr="00465BC2">
              <w:rPr>
                <w:iCs/>
                <w:szCs w:val="22"/>
              </w:rPr>
              <w:t xml:space="preserve"> (1 până la 10 de animale / 1 000 de animale tratate):</w:t>
            </w:r>
          </w:p>
        </w:tc>
        <w:tc>
          <w:tcPr>
            <w:tcW w:w="3254" w:type="dxa"/>
          </w:tcPr>
          <w:p w:rsidR="00AD4648" w:rsidRDefault="00465BC2" w:rsidP="00465BC2">
            <w:pPr>
              <w:tabs>
                <w:tab w:val="clear" w:pos="567"/>
              </w:tabs>
              <w:spacing w:line="240" w:lineRule="auto"/>
              <w:jc w:val="both"/>
              <w:rPr>
                <w:iCs/>
                <w:szCs w:val="22"/>
              </w:rPr>
            </w:pPr>
            <w:r w:rsidRPr="00465BC2">
              <w:rPr>
                <w:iCs/>
                <w:szCs w:val="22"/>
              </w:rPr>
              <w:t xml:space="preserve">Scăderea apetitului </w:t>
            </w:r>
          </w:p>
          <w:p w:rsidR="00AD4648" w:rsidRDefault="00465BC2" w:rsidP="00465BC2">
            <w:pPr>
              <w:tabs>
                <w:tab w:val="clear" w:pos="567"/>
              </w:tabs>
              <w:spacing w:line="240" w:lineRule="auto"/>
              <w:jc w:val="both"/>
              <w:rPr>
                <w:iCs/>
                <w:szCs w:val="22"/>
              </w:rPr>
            </w:pPr>
            <w:r w:rsidRPr="00465BC2">
              <w:rPr>
                <w:iCs/>
                <w:szCs w:val="22"/>
              </w:rPr>
              <w:t xml:space="preserve">Oboseală </w:t>
            </w:r>
          </w:p>
          <w:p w:rsidR="00465BC2" w:rsidRDefault="00465BC2" w:rsidP="00465BC2">
            <w:pPr>
              <w:tabs>
                <w:tab w:val="clear" w:pos="567"/>
              </w:tabs>
              <w:spacing w:line="240" w:lineRule="auto"/>
              <w:jc w:val="both"/>
              <w:rPr>
                <w:iCs/>
                <w:szCs w:val="22"/>
              </w:rPr>
            </w:pPr>
            <w:r w:rsidRPr="00465BC2">
              <w:rPr>
                <w:iCs/>
                <w:szCs w:val="22"/>
              </w:rPr>
              <w:t>Membrane mucoase hiperemice</w:t>
            </w:r>
          </w:p>
        </w:tc>
      </w:tr>
      <w:tr w:rsidR="00465BC2" w:rsidTr="00AD4648">
        <w:tc>
          <w:tcPr>
            <w:tcW w:w="5807" w:type="dxa"/>
          </w:tcPr>
          <w:p w:rsidR="00AD4648" w:rsidRDefault="00465BC2" w:rsidP="001D5814">
            <w:pPr>
              <w:tabs>
                <w:tab w:val="clear" w:pos="567"/>
              </w:tabs>
              <w:spacing w:line="240" w:lineRule="auto"/>
              <w:jc w:val="both"/>
              <w:rPr>
                <w:iCs/>
                <w:szCs w:val="22"/>
              </w:rPr>
            </w:pPr>
            <w:r w:rsidRPr="00465BC2">
              <w:rPr>
                <w:iCs/>
                <w:szCs w:val="22"/>
              </w:rPr>
              <w:t>Foarte rare</w:t>
            </w:r>
          </w:p>
          <w:p w:rsidR="00465BC2" w:rsidRDefault="00465BC2" w:rsidP="001D5814">
            <w:pPr>
              <w:tabs>
                <w:tab w:val="clear" w:pos="567"/>
              </w:tabs>
              <w:spacing w:line="240" w:lineRule="auto"/>
              <w:jc w:val="both"/>
              <w:rPr>
                <w:iCs/>
                <w:szCs w:val="22"/>
              </w:rPr>
            </w:pPr>
            <w:r w:rsidRPr="00465BC2">
              <w:rPr>
                <w:iCs/>
                <w:szCs w:val="22"/>
              </w:rPr>
              <w:t xml:space="preserve"> (&lt;1 animal / 10 000 de animale tratate, inclusiv raportările izolate):</w:t>
            </w:r>
          </w:p>
        </w:tc>
        <w:tc>
          <w:tcPr>
            <w:tcW w:w="3254" w:type="dxa"/>
          </w:tcPr>
          <w:p w:rsidR="00AD4648" w:rsidRDefault="00AD4648" w:rsidP="00AD4648">
            <w:pPr>
              <w:tabs>
                <w:tab w:val="clear" w:pos="567"/>
              </w:tabs>
              <w:spacing w:line="240" w:lineRule="auto"/>
              <w:jc w:val="both"/>
              <w:rPr>
                <w:iCs/>
                <w:szCs w:val="22"/>
              </w:rPr>
            </w:pPr>
            <w:r w:rsidRPr="00AD4648">
              <w:rPr>
                <w:iCs/>
                <w:szCs w:val="22"/>
              </w:rPr>
              <w:t>T</w:t>
            </w:r>
            <w:r>
              <w:rPr>
                <w:iCs/>
                <w:szCs w:val="22"/>
              </w:rPr>
              <w:t>remuraturi musculare</w:t>
            </w:r>
          </w:p>
          <w:p w:rsidR="00AD4648" w:rsidRDefault="00AD4648" w:rsidP="00AD4648">
            <w:pPr>
              <w:tabs>
                <w:tab w:val="clear" w:pos="567"/>
              </w:tabs>
              <w:spacing w:line="240" w:lineRule="auto"/>
              <w:jc w:val="both"/>
              <w:rPr>
                <w:iCs/>
                <w:szCs w:val="22"/>
              </w:rPr>
            </w:pPr>
            <w:r>
              <w:rPr>
                <w:iCs/>
                <w:szCs w:val="22"/>
              </w:rPr>
              <w:t xml:space="preserve"> Ataxie</w:t>
            </w:r>
          </w:p>
          <w:p w:rsidR="00465BC2" w:rsidRDefault="00AD4648" w:rsidP="00AD4648">
            <w:pPr>
              <w:tabs>
                <w:tab w:val="clear" w:pos="567"/>
              </w:tabs>
              <w:spacing w:line="240" w:lineRule="auto"/>
              <w:jc w:val="both"/>
              <w:rPr>
                <w:iCs/>
                <w:szCs w:val="22"/>
              </w:rPr>
            </w:pPr>
            <w:r w:rsidRPr="00AD4648">
              <w:rPr>
                <w:iCs/>
                <w:szCs w:val="22"/>
              </w:rPr>
              <w:t xml:space="preserve"> Convulsii</w:t>
            </w:r>
          </w:p>
        </w:tc>
      </w:tr>
    </w:tbl>
    <w:p w:rsidR="00465BC2" w:rsidRDefault="00AD4648" w:rsidP="001D5814">
      <w:pPr>
        <w:tabs>
          <w:tab w:val="clear" w:pos="567"/>
        </w:tabs>
        <w:spacing w:line="240" w:lineRule="auto"/>
        <w:jc w:val="both"/>
        <w:rPr>
          <w:iCs/>
          <w:szCs w:val="22"/>
        </w:rPr>
      </w:pPr>
      <w:r>
        <w:rPr>
          <w:iCs/>
          <w:szCs w:val="22"/>
          <w:vertAlign w:val="superscript"/>
        </w:rPr>
        <w:t>1</w:t>
      </w:r>
      <w:r w:rsidRPr="00AD4648">
        <w:rPr>
          <w:iCs/>
          <w:szCs w:val="22"/>
        </w:rPr>
        <w:t>Umflături palpabile și/sau vizibile, neinflamatorii, nedureroase, care se vindecă de la sine în timp</w:t>
      </w:r>
      <w:r>
        <w:rPr>
          <w:iCs/>
          <w:szCs w:val="22"/>
        </w:rPr>
        <w:t>.</w:t>
      </w:r>
    </w:p>
    <w:p w:rsidR="00AD4648" w:rsidRPr="001D5814" w:rsidRDefault="00AD4648" w:rsidP="001D5814">
      <w:pPr>
        <w:tabs>
          <w:tab w:val="clear" w:pos="567"/>
        </w:tabs>
        <w:spacing w:line="240" w:lineRule="auto"/>
        <w:jc w:val="both"/>
        <w:rPr>
          <w:iCs/>
          <w:szCs w:val="22"/>
        </w:rPr>
      </w:pPr>
    </w:p>
    <w:p w:rsidR="00A3008A" w:rsidRPr="00C32182" w:rsidRDefault="00A3008A" w:rsidP="00A3008A">
      <w:pPr>
        <w:jc w:val="both"/>
        <w:rPr>
          <w:szCs w:val="22"/>
        </w:rPr>
      </w:pPr>
      <w:r w:rsidRPr="00C32182">
        <w:rPr>
          <w:szCs w:val="22"/>
        </w:rPr>
        <w:t xml:space="preserve">Raportarea evenimentelor adverse este importantă. Permite monitorizarea continuă a siguranței unui produs. Dacă observați orice reacții adverse, chiar și cele care nu sunt deja enumerate în acest prospect, sau credeți că medicamentul nu a avut efect, vă rugăm să contactați în mai întâi medicul veterinar. De asemenea, puteți raporta evenimente adverse către deținătorul </w:t>
      </w:r>
      <w:r>
        <w:rPr>
          <w:szCs w:val="22"/>
        </w:rPr>
        <w:t>certificatului de înregistrare</w:t>
      </w:r>
      <w:r w:rsidR="001D5814">
        <w:rPr>
          <w:szCs w:val="22"/>
        </w:rPr>
        <w:t xml:space="preserve"> </w:t>
      </w:r>
      <w:r w:rsidRPr="00C32182">
        <w:rPr>
          <w:szCs w:val="22"/>
        </w:rPr>
        <w:t xml:space="preserve">sau reprezentantul local al deținătorului </w:t>
      </w:r>
      <w:r>
        <w:rPr>
          <w:szCs w:val="22"/>
        </w:rPr>
        <w:t>certificatului de înregistrare</w:t>
      </w:r>
      <w:r w:rsidR="001D5814">
        <w:rPr>
          <w:szCs w:val="22"/>
        </w:rPr>
        <w:t>,</w:t>
      </w:r>
      <w:r w:rsidRPr="00C32182">
        <w:rPr>
          <w:szCs w:val="22"/>
        </w:rPr>
        <w:t xml:space="preserve"> folosind datele de contact de la sfârșitul acestui prospect sau prin sistemul național de raportare</w:t>
      </w:r>
      <w:r w:rsidR="001D5814">
        <w:rPr>
          <w:szCs w:val="22"/>
        </w:rPr>
        <w:t>.</w:t>
      </w:r>
    </w:p>
    <w:p w:rsidR="00A3008A" w:rsidRDefault="00A3008A" w:rsidP="00A3008A">
      <w:pPr>
        <w:jc w:val="both"/>
        <w:rPr>
          <w:i/>
          <w:iCs/>
          <w:color w:val="008000"/>
          <w:szCs w:val="22"/>
        </w:rPr>
      </w:pPr>
    </w:p>
    <w:p w:rsidR="00A3008A" w:rsidRPr="00C32182" w:rsidRDefault="00A3008A" w:rsidP="00A3008A">
      <w:pPr>
        <w:tabs>
          <w:tab w:val="clear" w:pos="567"/>
        </w:tabs>
        <w:spacing w:line="240" w:lineRule="auto"/>
        <w:jc w:val="both"/>
        <w:rPr>
          <w:iCs/>
          <w:szCs w:val="22"/>
        </w:rPr>
      </w:pPr>
    </w:p>
    <w:p w:rsidR="00A3008A" w:rsidRDefault="00A3008A" w:rsidP="00A3008A">
      <w:pPr>
        <w:pStyle w:val="Style1"/>
        <w:jc w:val="both"/>
      </w:pPr>
      <w:r w:rsidRPr="00C32182">
        <w:rPr>
          <w:highlight w:val="lightGray"/>
        </w:rPr>
        <w:t>8.</w:t>
      </w:r>
      <w:r w:rsidRPr="00C32182">
        <w:tab/>
        <w:t>Doze pentru fiecare specie, căi de administrare și metode de administrare</w:t>
      </w:r>
    </w:p>
    <w:p w:rsidR="00AD4648" w:rsidRDefault="00D716DA" w:rsidP="00A3008A">
      <w:pPr>
        <w:pStyle w:val="Style1"/>
        <w:jc w:val="both"/>
        <w:rPr>
          <w:b w:val="0"/>
        </w:rPr>
      </w:pPr>
      <w:r>
        <w:rPr>
          <w:b w:val="0"/>
        </w:rPr>
        <w:t xml:space="preserve">   </w:t>
      </w:r>
    </w:p>
    <w:p w:rsidR="00AD4648" w:rsidRDefault="00AD4648" w:rsidP="00AD4648">
      <w:pPr>
        <w:pStyle w:val="Style1"/>
        <w:jc w:val="both"/>
        <w:rPr>
          <w:b w:val="0"/>
        </w:rPr>
      </w:pPr>
      <w:r w:rsidRPr="00AD4648">
        <w:rPr>
          <w:b w:val="0"/>
        </w:rPr>
        <w:t xml:space="preserve">De uz subcutanat. </w:t>
      </w:r>
    </w:p>
    <w:p w:rsidR="00AD4648" w:rsidRPr="00AD4648" w:rsidRDefault="00AD4648" w:rsidP="00AD4648">
      <w:pPr>
        <w:pStyle w:val="Style1"/>
        <w:ind w:left="0" w:firstLine="0"/>
        <w:jc w:val="both"/>
        <w:rPr>
          <w:b w:val="0"/>
        </w:rPr>
      </w:pPr>
      <w:r w:rsidRPr="00AD4648">
        <w:rPr>
          <w:b w:val="0"/>
        </w:rPr>
        <w:t>Se administrează 0,1 ml de suspensie reconstituită per kg greutate corporală (echivalentul a 15 mg fluralaner per kg greutate corporală) subcutanat, de exemplu între omoplați (regiunea dorso-scapulară) a câinelui. Câinele trebuie cântărit în momentul administrării pentru a calcula o doză exactă.  Subdozarea ar putea duce la o utilizare ineficientă și poate favoriza dezvoltarea rezistenței.</w:t>
      </w:r>
    </w:p>
    <w:p w:rsidR="00AD4648" w:rsidRPr="00AD4648" w:rsidRDefault="00AD4648" w:rsidP="00AD4648">
      <w:pPr>
        <w:pStyle w:val="Style1"/>
        <w:jc w:val="both"/>
        <w:rPr>
          <w:b w:val="0"/>
        </w:rPr>
      </w:pPr>
      <w:r w:rsidRPr="00AD4648">
        <w:rPr>
          <w:b w:val="0"/>
        </w:rPr>
        <w:t>Tabelul de mai jos poate fi folosit ca un ghid de dozare:</w:t>
      </w:r>
    </w:p>
    <w:p w:rsidR="00AD4648" w:rsidRDefault="00AD4648" w:rsidP="00A3008A">
      <w:pPr>
        <w:pStyle w:val="Style1"/>
        <w:jc w:val="both"/>
        <w:rPr>
          <w:b w:val="0"/>
        </w:rPr>
      </w:pPr>
    </w:p>
    <w:tbl>
      <w:tblPr>
        <w:tblStyle w:val="a6"/>
        <w:tblW w:w="0" w:type="auto"/>
        <w:tblInd w:w="567" w:type="dxa"/>
        <w:tblLook w:val="04A0" w:firstRow="1" w:lastRow="0" w:firstColumn="1" w:lastColumn="0" w:noHBand="0" w:noVBand="1"/>
      </w:tblPr>
      <w:tblGrid>
        <w:gridCol w:w="2405"/>
        <w:gridCol w:w="3402"/>
      </w:tblGrid>
      <w:tr w:rsidR="00EF1D45" w:rsidTr="00EF1D45">
        <w:tc>
          <w:tcPr>
            <w:tcW w:w="2405" w:type="dxa"/>
          </w:tcPr>
          <w:p w:rsidR="00EF1D45" w:rsidRPr="00EF1D45" w:rsidRDefault="00F9326E" w:rsidP="00EF1D45">
            <w:pPr>
              <w:pStyle w:val="Style1"/>
              <w:ind w:left="0" w:firstLine="0"/>
              <w:jc w:val="center"/>
            </w:pPr>
            <w:r>
              <w:t>Greutate corporală</w:t>
            </w:r>
            <w:r w:rsidR="00EF1D45" w:rsidRPr="00EF1D45">
              <w:t xml:space="preserve"> a câinelui (kg)</w:t>
            </w:r>
          </w:p>
        </w:tc>
        <w:tc>
          <w:tcPr>
            <w:tcW w:w="3402" w:type="dxa"/>
          </w:tcPr>
          <w:p w:rsidR="00EF1D45" w:rsidRPr="00EF1D45" w:rsidRDefault="00EF1D45" w:rsidP="00EF1D45">
            <w:pPr>
              <w:pStyle w:val="Style1"/>
              <w:ind w:left="0" w:firstLine="0"/>
              <w:jc w:val="center"/>
            </w:pPr>
            <w:r w:rsidRPr="00EF1D45">
              <w:t>Volumul dozei de suspensie reconstituita (ml)</w:t>
            </w:r>
          </w:p>
        </w:tc>
      </w:tr>
      <w:tr w:rsidR="00EF1D45" w:rsidTr="00EF1D45">
        <w:tc>
          <w:tcPr>
            <w:tcW w:w="2405" w:type="dxa"/>
          </w:tcPr>
          <w:p w:rsidR="00EF1D45" w:rsidRDefault="00EF1D45" w:rsidP="00EF1D45">
            <w:pPr>
              <w:pStyle w:val="Style1"/>
              <w:ind w:left="0" w:firstLine="0"/>
              <w:jc w:val="center"/>
              <w:rPr>
                <w:b w:val="0"/>
              </w:rPr>
            </w:pPr>
            <w:r>
              <w:rPr>
                <w:b w:val="0"/>
              </w:rPr>
              <w:t>5</w:t>
            </w:r>
          </w:p>
        </w:tc>
        <w:tc>
          <w:tcPr>
            <w:tcW w:w="3402" w:type="dxa"/>
          </w:tcPr>
          <w:p w:rsidR="00EF1D45" w:rsidRDefault="00EF1D45" w:rsidP="00EF1D45">
            <w:pPr>
              <w:pStyle w:val="Style1"/>
              <w:ind w:left="0" w:firstLine="0"/>
              <w:jc w:val="center"/>
              <w:rPr>
                <w:b w:val="0"/>
              </w:rPr>
            </w:pPr>
            <w:r>
              <w:rPr>
                <w:b w:val="0"/>
              </w:rPr>
              <w:t>0,5</w:t>
            </w:r>
          </w:p>
        </w:tc>
      </w:tr>
      <w:tr w:rsidR="00EF1D45" w:rsidTr="00EF1D45">
        <w:tc>
          <w:tcPr>
            <w:tcW w:w="2405" w:type="dxa"/>
          </w:tcPr>
          <w:p w:rsidR="00EF1D45" w:rsidRDefault="00EF1D45" w:rsidP="00EF1D45">
            <w:pPr>
              <w:pStyle w:val="Style1"/>
              <w:ind w:left="0" w:firstLine="0"/>
              <w:jc w:val="center"/>
              <w:rPr>
                <w:b w:val="0"/>
              </w:rPr>
            </w:pPr>
            <w:r>
              <w:rPr>
                <w:b w:val="0"/>
              </w:rPr>
              <w:t>10</w:t>
            </w:r>
          </w:p>
        </w:tc>
        <w:tc>
          <w:tcPr>
            <w:tcW w:w="3402" w:type="dxa"/>
          </w:tcPr>
          <w:p w:rsidR="00EF1D45" w:rsidRDefault="00EF1D45" w:rsidP="00EF1D45">
            <w:pPr>
              <w:pStyle w:val="Style1"/>
              <w:ind w:left="0" w:firstLine="0"/>
              <w:jc w:val="center"/>
              <w:rPr>
                <w:b w:val="0"/>
              </w:rPr>
            </w:pPr>
            <w:r>
              <w:rPr>
                <w:b w:val="0"/>
              </w:rPr>
              <w:t>1</w:t>
            </w:r>
          </w:p>
        </w:tc>
      </w:tr>
      <w:tr w:rsidR="00EF1D45" w:rsidTr="00EF1D45">
        <w:tc>
          <w:tcPr>
            <w:tcW w:w="2405" w:type="dxa"/>
          </w:tcPr>
          <w:p w:rsidR="00EF1D45" w:rsidRDefault="00EF1D45" w:rsidP="00EF1D45">
            <w:pPr>
              <w:pStyle w:val="Style1"/>
              <w:ind w:left="0" w:firstLine="0"/>
              <w:jc w:val="center"/>
              <w:rPr>
                <w:b w:val="0"/>
              </w:rPr>
            </w:pPr>
            <w:r>
              <w:rPr>
                <w:b w:val="0"/>
              </w:rPr>
              <w:t>15</w:t>
            </w:r>
          </w:p>
        </w:tc>
        <w:tc>
          <w:tcPr>
            <w:tcW w:w="3402" w:type="dxa"/>
          </w:tcPr>
          <w:p w:rsidR="00EF1D45" w:rsidRDefault="00EF1D45" w:rsidP="00EF1D45">
            <w:pPr>
              <w:pStyle w:val="Style1"/>
              <w:ind w:left="0" w:firstLine="0"/>
              <w:jc w:val="center"/>
              <w:rPr>
                <w:b w:val="0"/>
              </w:rPr>
            </w:pPr>
            <w:r>
              <w:rPr>
                <w:b w:val="0"/>
              </w:rPr>
              <w:t>1,5</w:t>
            </w:r>
          </w:p>
        </w:tc>
      </w:tr>
      <w:tr w:rsidR="00EF1D45" w:rsidTr="00EF1D45">
        <w:tc>
          <w:tcPr>
            <w:tcW w:w="2405" w:type="dxa"/>
          </w:tcPr>
          <w:p w:rsidR="00EF1D45" w:rsidRDefault="00EF1D45" w:rsidP="00EF1D45">
            <w:pPr>
              <w:pStyle w:val="Style1"/>
              <w:ind w:left="0" w:firstLine="0"/>
              <w:jc w:val="center"/>
              <w:rPr>
                <w:b w:val="0"/>
              </w:rPr>
            </w:pPr>
            <w:r>
              <w:rPr>
                <w:b w:val="0"/>
              </w:rPr>
              <w:t>20</w:t>
            </w:r>
          </w:p>
        </w:tc>
        <w:tc>
          <w:tcPr>
            <w:tcW w:w="3402" w:type="dxa"/>
          </w:tcPr>
          <w:p w:rsidR="00EF1D45" w:rsidRDefault="00EF1D45" w:rsidP="00EF1D45">
            <w:pPr>
              <w:pStyle w:val="Style1"/>
              <w:ind w:left="0" w:firstLine="0"/>
              <w:jc w:val="center"/>
              <w:rPr>
                <w:b w:val="0"/>
              </w:rPr>
            </w:pPr>
            <w:r>
              <w:rPr>
                <w:b w:val="0"/>
              </w:rPr>
              <w:t>2</w:t>
            </w:r>
          </w:p>
        </w:tc>
      </w:tr>
      <w:tr w:rsidR="00EF1D45" w:rsidTr="00EF1D45">
        <w:tc>
          <w:tcPr>
            <w:tcW w:w="2405" w:type="dxa"/>
          </w:tcPr>
          <w:p w:rsidR="00EF1D45" w:rsidRDefault="00EF1D45" w:rsidP="00EF1D45">
            <w:pPr>
              <w:pStyle w:val="Style1"/>
              <w:ind w:left="0" w:firstLine="0"/>
              <w:jc w:val="center"/>
              <w:rPr>
                <w:b w:val="0"/>
              </w:rPr>
            </w:pPr>
            <w:r>
              <w:rPr>
                <w:b w:val="0"/>
              </w:rPr>
              <w:t>25</w:t>
            </w:r>
          </w:p>
        </w:tc>
        <w:tc>
          <w:tcPr>
            <w:tcW w:w="3402" w:type="dxa"/>
          </w:tcPr>
          <w:p w:rsidR="00EF1D45" w:rsidRDefault="00EF1D45" w:rsidP="00EF1D45">
            <w:pPr>
              <w:pStyle w:val="Style1"/>
              <w:ind w:left="0" w:firstLine="0"/>
              <w:jc w:val="center"/>
              <w:rPr>
                <w:b w:val="0"/>
              </w:rPr>
            </w:pPr>
            <w:r>
              <w:rPr>
                <w:b w:val="0"/>
              </w:rPr>
              <w:t>2,5</w:t>
            </w:r>
          </w:p>
        </w:tc>
      </w:tr>
      <w:tr w:rsidR="00EF1D45" w:rsidTr="00EF1D45">
        <w:tc>
          <w:tcPr>
            <w:tcW w:w="2405" w:type="dxa"/>
          </w:tcPr>
          <w:p w:rsidR="00EF1D45" w:rsidRDefault="00EF1D45" w:rsidP="00EF1D45">
            <w:pPr>
              <w:pStyle w:val="Style1"/>
              <w:ind w:left="0" w:firstLine="0"/>
              <w:jc w:val="center"/>
              <w:rPr>
                <w:b w:val="0"/>
              </w:rPr>
            </w:pPr>
            <w:r>
              <w:rPr>
                <w:b w:val="0"/>
              </w:rPr>
              <w:t>30</w:t>
            </w:r>
          </w:p>
        </w:tc>
        <w:tc>
          <w:tcPr>
            <w:tcW w:w="3402" w:type="dxa"/>
          </w:tcPr>
          <w:p w:rsidR="00EF1D45" w:rsidRDefault="00EF1D45" w:rsidP="00EF1D45">
            <w:pPr>
              <w:pStyle w:val="Style1"/>
              <w:ind w:left="0" w:firstLine="0"/>
              <w:jc w:val="center"/>
              <w:rPr>
                <w:b w:val="0"/>
              </w:rPr>
            </w:pPr>
            <w:r>
              <w:rPr>
                <w:b w:val="0"/>
              </w:rPr>
              <w:t>3</w:t>
            </w:r>
          </w:p>
        </w:tc>
      </w:tr>
      <w:tr w:rsidR="00EF1D45" w:rsidTr="00EF1D45">
        <w:tc>
          <w:tcPr>
            <w:tcW w:w="2405" w:type="dxa"/>
          </w:tcPr>
          <w:p w:rsidR="00EF1D45" w:rsidRDefault="00EF1D45" w:rsidP="00EF1D45">
            <w:pPr>
              <w:pStyle w:val="Style1"/>
              <w:ind w:left="0" w:firstLine="0"/>
              <w:jc w:val="center"/>
              <w:rPr>
                <w:b w:val="0"/>
              </w:rPr>
            </w:pPr>
            <w:r>
              <w:rPr>
                <w:b w:val="0"/>
              </w:rPr>
              <w:t>35</w:t>
            </w:r>
          </w:p>
        </w:tc>
        <w:tc>
          <w:tcPr>
            <w:tcW w:w="3402" w:type="dxa"/>
          </w:tcPr>
          <w:p w:rsidR="00EF1D45" w:rsidRDefault="00EF1D45" w:rsidP="00EF1D45">
            <w:pPr>
              <w:pStyle w:val="Style1"/>
              <w:ind w:left="0" w:firstLine="0"/>
              <w:jc w:val="center"/>
              <w:rPr>
                <w:b w:val="0"/>
              </w:rPr>
            </w:pPr>
            <w:r>
              <w:rPr>
                <w:b w:val="0"/>
              </w:rPr>
              <w:t>3,5</w:t>
            </w:r>
          </w:p>
        </w:tc>
      </w:tr>
      <w:tr w:rsidR="00EF1D45" w:rsidTr="00EF1D45">
        <w:tc>
          <w:tcPr>
            <w:tcW w:w="2405" w:type="dxa"/>
          </w:tcPr>
          <w:p w:rsidR="00EF1D45" w:rsidRDefault="00EF1D45" w:rsidP="00EF1D45">
            <w:pPr>
              <w:pStyle w:val="Style1"/>
              <w:ind w:left="0" w:firstLine="0"/>
              <w:jc w:val="center"/>
              <w:rPr>
                <w:b w:val="0"/>
              </w:rPr>
            </w:pPr>
            <w:r>
              <w:rPr>
                <w:b w:val="0"/>
              </w:rPr>
              <w:t>40</w:t>
            </w:r>
          </w:p>
        </w:tc>
        <w:tc>
          <w:tcPr>
            <w:tcW w:w="3402" w:type="dxa"/>
          </w:tcPr>
          <w:p w:rsidR="00EF1D45" w:rsidRDefault="00EF1D45" w:rsidP="00EF1D45">
            <w:pPr>
              <w:pStyle w:val="Style1"/>
              <w:ind w:left="0" w:firstLine="0"/>
              <w:jc w:val="center"/>
              <w:rPr>
                <w:b w:val="0"/>
              </w:rPr>
            </w:pPr>
            <w:r>
              <w:rPr>
                <w:b w:val="0"/>
              </w:rPr>
              <w:t>4</w:t>
            </w:r>
          </w:p>
        </w:tc>
      </w:tr>
      <w:tr w:rsidR="00EF1D45" w:rsidTr="00EF1D45">
        <w:tc>
          <w:tcPr>
            <w:tcW w:w="2405" w:type="dxa"/>
          </w:tcPr>
          <w:p w:rsidR="00EF1D45" w:rsidRDefault="00EF1D45" w:rsidP="00EF1D45">
            <w:pPr>
              <w:pStyle w:val="Style1"/>
              <w:ind w:left="0" w:firstLine="0"/>
              <w:jc w:val="center"/>
              <w:rPr>
                <w:b w:val="0"/>
              </w:rPr>
            </w:pPr>
            <w:r>
              <w:rPr>
                <w:b w:val="0"/>
              </w:rPr>
              <w:t>45</w:t>
            </w:r>
          </w:p>
        </w:tc>
        <w:tc>
          <w:tcPr>
            <w:tcW w:w="3402" w:type="dxa"/>
          </w:tcPr>
          <w:p w:rsidR="00EF1D45" w:rsidRDefault="00EF1D45" w:rsidP="00EF1D45">
            <w:pPr>
              <w:pStyle w:val="Style1"/>
              <w:ind w:left="0" w:firstLine="0"/>
              <w:jc w:val="center"/>
              <w:rPr>
                <w:b w:val="0"/>
              </w:rPr>
            </w:pPr>
            <w:r>
              <w:rPr>
                <w:b w:val="0"/>
              </w:rPr>
              <w:t>4,5</w:t>
            </w:r>
          </w:p>
        </w:tc>
      </w:tr>
      <w:tr w:rsidR="00EF1D45" w:rsidTr="00EF1D45">
        <w:tc>
          <w:tcPr>
            <w:tcW w:w="2405" w:type="dxa"/>
          </w:tcPr>
          <w:p w:rsidR="00EF1D45" w:rsidRDefault="00EF1D45" w:rsidP="00EF1D45">
            <w:pPr>
              <w:pStyle w:val="Style1"/>
              <w:ind w:left="0" w:firstLine="0"/>
              <w:jc w:val="center"/>
              <w:rPr>
                <w:b w:val="0"/>
              </w:rPr>
            </w:pPr>
            <w:r>
              <w:rPr>
                <w:b w:val="0"/>
              </w:rPr>
              <w:t>50</w:t>
            </w:r>
          </w:p>
        </w:tc>
        <w:tc>
          <w:tcPr>
            <w:tcW w:w="3402" w:type="dxa"/>
          </w:tcPr>
          <w:p w:rsidR="00EF1D45" w:rsidRDefault="00EF1D45" w:rsidP="00EF1D45">
            <w:pPr>
              <w:pStyle w:val="Style1"/>
              <w:ind w:left="0" w:firstLine="0"/>
              <w:jc w:val="center"/>
              <w:rPr>
                <w:b w:val="0"/>
              </w:rPr>
            </w:pPr>
            <w:r>
              <w:rPr>
                <w:b w:val="0"/>
              </w:rPr>
              <w:t>5</w:t>
            </w:r>
          </w:p>
        </w:tc>
      </w:tr>
      <w:tr w:rsidR="00EF1D45" w:rsidTr="00EF1D45">
        <w:tc>
          <w:tcPr>
            <w:tcW w:w="2405" w:type="dxa"/>
          </w:tcPr>
          <w:p w:rsidR="00EF1D45" w:rsidRDefault="00EF1D45" w:rsidP="00EF1D45">
            <w:pPr>
              <w:pStyle w:val="Style1"/>
              <w:ind w:left="0" w:firstLine="0"/>
              <w:jc w:val="center"/>
              <w:rPr>
                <w:b w:val="0"/>
              </w:rPr>
            </w:pPr>
            <w:r>
              <w:rPr>
                <w:b w:val="0"/>
              </w:rPr>
              <w:t>55</w:t>
            </w:r>
          </w:p>
        </w:tc>
        <w:tc>
          <w:tcPr>
            <w:tcW w:w="3402" w:type="dxa"/>
          </w:tcPr>
          <w:p w:rsidR="00EF1D45" w:rsidRDefault="00EF1D45" w:rsidP="00EF1D45">
            <w:pPr>
              <w:pStyle w:val="Style1"/>
              <w:ind w:left="0" w:firstLine="0"/>
              <w:jc w:val="center"/>
              <w:rPr>
                <w:b w:val="0"/>
              </w:rPr>
            </w:pPr>
            <w:r>
              <w:rPr>
                <w:b w:val="0"/>
              </w:rPr>
              <w:t>5,5</w:t>
            </w:r>
          </w:p>
        </w:tc>
      </w:tr>
      <w:tr w:rsidR="00EF1D45" w:rsidTr="00EF1D45">
        <w:tc>
          <w:tcPr>
            <w:tcW w:w="2405" w:type="dxa"/>
          </w:tcPr>
          <w:p w:rsidR="00EF1D45" w:rsidRDefault="00EF1D45" w:rsidP="00EF1D45">
            <w:pPr>
              <w:pStyle w:val="Style1"/>
              <w:ind w:left="0" w:firstLine="0"/>
              <w:jc w:val="center"/>
              <w:rPr>
                <w:b w:val="0"/>
              </w:rPr>
            </w:pPr>
            <w:r>
              <w:rPr>
                <w:b w:val="0"/>
              </w:rPr>
              <w:t>60</w:t>
            </w:r>
          </w:p>
        </w:tc>
        <w:tc>
          <w:tcPr>
            <w:tcW w:w="3402" w:type="dxa"/>
          </w:tcPr>
          <w:p w:rsidR="00EF1D45" w:rsidRDefault="00EF1D45" w:rsidP="00EF1D45">
            <w:pPr>
              <w:pStyle w:val="Style1"/>
              <w:ind w:left="0" w:firstLine="0"/>
              <w:jc w:val="center"/>
              <w:rPr>
                <w:b w:val="0"/>
              </w:rPr>
            </w:pPr>
            <w:r>
              <w:rPr>
                <w:b w:val="0"/>
              </w:rPr>
              <w:t>6</w:t>
            </w:r>
          </w:p>
        </w:tc>
      </w:tr>
    </w:tbl>
    <w:p w:rsidR="00AD4648" w:rsidRDefault="00AD4648" w:rsidP="00A3008A">
      <w:pPr>
        <w:pStyle w:val="Style1"/>
        <w:jc w:val="both"/>
        <w:rPr>
          <w:b w:val="0"/>
        </w:rPr>
      </w:pPr>
    </w:p>
    <w:p w:rsidR="00EF1D45" w:rsidRPr="00EF1D45" w:rsidRDefault="00EF1D45" w:rsidP="00EF1D45">
      <w:pPr>
        <w:pStyle w:val="Style1"/>
        <w:jc w:val="both"/>
        <w:rPr>
          <w:b w:val="0"/>
        </w:rPr>
      </w:pPr>
      <w:r w:rsidRPr="00EF1D45">
        <w:rPr>
          <w:b w:val="0"/>
        </w:rPr>
        <w:t xml:space="preserve">Calculați doza corespunzător pentru câinii care cântăresc mai puțin de 5 kg sau mai mult de 60 kg. </w:t>
      </w:r>
    </w:p>
    <w:p w:rsidR="00D716DA" w:rsidRPr="00EF1D45" w:rsidRDefault="00EF1D45" w:rsidP="00EF1D45">
      <w:pPr>
        <w:pStyle w:val="Style1"/>
        <w:jc w:val="both"/>
        <w:rPr>
          <w:b w:val="0"/>
        </w:rPr>
      </w:pPr>
      <w:r>
        <w:rPr>
          <w:b w:val="0"/>
        </w:rPr>
        <w:t xml:space="preserve"> </w:t>
      </w:r>
    </w:p>
    <w:p w:rsidR="00A3008A" w:rsidRDefault="00A3008A" w:rsidP="00A3008A">
      <w:pPr>
        <w:pStyle w:val="Style1"/>
        <w:jc w:val="both"/>
      </w:pPr>
      <w:r w:rsidRPr="00C32182">
        <w:rPr>
          <w:highlight w:val="lightGray"/>
        </w:rPr>
        <w:t>9.</w:t>
      </w:r>
      <w:r w:rsidRPr="00C32182">
        <w:tab/>
        <w:t>Recomandări privind administrarea corectă</w:t>
      </w:r>
    </w:p>
    <w:p w:rsidR="00EA6150" w:rsidRDefault="00EA6150" w:rsidP="00EA6150">
      <w:pPr>
        <w:pStyle w:val="Style1"/>
        <w:ind w:left="0"/>
        <w:jc w:val="both"/>
        <w:rPr>
          <w:b w:val="0"/>
        </w:rPr>
      </w:pPr>
      <w:r>
        <w:rPr>
          <w:b w:val="0"/>
        </w:rPr>
        <w:tab/>
      </w:r>
      <w:r w:rsidRPr="00EA6150">
        <w:rPr>
          <w:b w:val="0"/>
        </w:rPr>
        <w:t>Reconstituirea suspensiei înainte de prima utilizare: Reconstituiți 1 flacon de pulbere cu 15 ml de solvent. Se recomandă utilizarea unui ac de transfer steril de 18 G și a unei seringi sterile de 20 ml pentru reconstituirea produsului.</w:t>
      </w:r>
    </w:p>
    <w:p w:rsidR="00354995" w:rsidRDefault="00354995" w:rsidP="00EA6150">
      <w:pPr>
        <w:pStyle w:val="Style1"/>
        <w:ind w:left="0"/>
        <w:jc w:val="both"/>
        <w:rPr>
          <w:b w:val="0"/>
        </w:rPr>
      </w:pPr>
    </w:p>
    <w:p w:rsidR="00EA6150" w:rsidRPr="00EA6150" w:rsidRDefault="00EA6150" w:rsidP="00EA6150">
      <w:pPr>
        <w:pStyle w:val="Style1"/>
        <w:ind w:left="0"/>
        <w:jc w:val="both"/>
        <w:rPr>
          <w:b w:val="0"/>
        </w:rPr>
      </w:pPr>
      <w:r w:rsidRPr="00EA6150">
        <w:rPr>
          <w:b w:val="0"/>
        </w:rPr>
        <w:t>1.     Agitați flaconul cu pulbere de fluralaner pentru a spa</w:t>
      </w:r>
      <w:r>
        <w:rPr>
          <w:b w:val="0"/>
        </w:rPr>
        <w:t xml:space="preserve">rge orice agregate înainte de  </w:t>
      </w:r>
      <w:r w:rsidRPr="00EA6150">
        <w:rPr>
          <w:b w:val="0"/>
        </w:rPr>
        <w:t>reconstituire.</w:t>
      </w:r>
    </w:p>
    <w:p w:rsidR="00EA6150" w:rsidRDefault="00EA6150" w:rsidP="00EA6150">
      <w:pPr>
        <w:pStyle w:val="Style1"/>
        <w:ind w:left="0"/>
        <w:jc w:val="both"/>
        <w:rPr>
          <w:b w:val="0"/>
        </w:rPr>
      </w:pPr>
      <w:r w:rsidRPr="00EA6150">
        <w:rPr>
          <w:b w:val="0"/>
        </w:rPr>
        <w:t xml:space="preserve">2.     Inversați flaconul cu solvent de cel puțin 3 ori până când conținutul este vizibil uniform. </w:t>
      </w:r>
    </w:p>
    <w:p w:rsidR="00EA6150" w:rsidRDefault="00EA6150" w:rsidP="00EA6150">
      <w:pPr>
        <w:pStyle w:val="Style1"/>
        <w:ind w:left="0"/>
        <w:jc w:val="both"/>
        <w:rPr>
          <w:b w:val="0"/>
        </w:rPr>
      </w:pPr>
      <w:r w:rsidRPr="00EA6150">
        <w:rPr>
          <w:b w:val="0"/>
        </w:rPr>
        <w:t xml:space="preserve">3. </w:t>
      </w:r>
      <w:r w:rsidR="003B4F8E">
        <w:rPr>
          <w:b w:val="0"/>
        </w:rPr>
        <w:t xml:space="preserve">  </w:t>
      </w:r>
      <w:r w:rsidRPr="00EA6150">
        <w:rPr>
          <w:b w:val="0"/>
        </w:rPr>
        <w:t xml:space="preserve"> Injectați mai întâi până la 14 ml de aer în flaconul de solvent, apoi extrageți </w:t>
      </w:r>
      <w:r w:rsidRPr="00EA6150">
        <w:t>15 ml</w:t>
      </w:r>
      <w:r w:rsidRPr="00EA6150">
        <w:rPr>
          <w:b w:val="0"/>
        </w:rPr>
        <w:t xml:space="preserve"> de solvent din flacon (imaginea A). </w:t>
      </w:r>
      <w:r w:rsidRPr="00EA6150">
        <w:t>În flacon este furnizat mai mult solvent decât este necesar pentru reconstituire. Aruncați flaconul împreună cu restul de solvent.</w:t>
      </w:r>
    </w:p>
    <w:p w:rsidR="00EA6150" w:rsidRDefault="00EA6150" w:rsidP="00EA6150">
      <w:pPr>
        <w:pStyle w:val="Style1"/>
        <w:ind w:left="0"/>
        <w:jc w:val="both"/>
        <w:rPr>
          <w:b w:val="0"/>
        </w:rPr>
      </w:pPr>
      <w:r w:rsidRPr="00EA6150">
        <w:rPr>
          <w:b w:val="0"/>
        </w:rPr>
        <w:t xml:space="preserve">4.  </w:t>
      </w:r>
      <w:r w:rsidR="003B4F8E">
        <w:rPr>
          <w:b w:val="0"/>
        </w:rPr>
        <w:t xml:space="preserve">   </w:t>
      </w:r>
      <w:r w:rsidRPr="00EA6150">
        <w:rPr>
          <w:b w:val="0"/>
        </w:rPr>
        <w:t>Introduceți acul de aerisire de 25 G în partea superioară a flaconului de pulb</w:t>
      </w:r>
      <w:r>
        <w:rPr>
          <w:b w:val="0"/>
        </w:rPr>
        <w:t>ere de fluralaner (imaginea B).</w:t>
      </w:r>
    </w:p>
    <w:p w:rsidR="003B4F8E" w:rsidRDefault="00EA6150" w:rsidP="003B4F8E">
      <w:pPr>
        <w:pStyle w:val="Style1"/>
        <w:ind w:left="0"/>
        <w:jc w:val="both"/>
        <w:rPr>
          <w:b w:val="0"/>
        </w:rPr>
      </w:pPr>
      <w:r w:rsidRPr="00EA6150">
        <w:rPr>
          <w:b w:val="0"/>
        </w:rPr>
        <w:t xml:space="preserve">5. </w:t>
      </w:r>
      <w:r w:rsidR="003B4F8E">
        <w:rPr>
          <w:b w:val="0"/>
        </w:rPr>
        <w:t xml:space="preserve">   </w:t>
      </w:r>
      <w:r w:rsidRPr="00EA6150">
        <w:rPr>
          <w:b w:val="0"/>
        </w:rPr>
        <w:t xml:space="preserve"> În timp ce rotiți flaconul orizontal în mână, transferați încet cei 15 ml de solvent în flaconul cu pulbere de fluralaner pentru a asigura umezirea completă a pulberii (imaginea C).</w:t>
      </w:r>
    </w:p>
    <w:p w:rsidR="004C0F32" w:rsidRDefault="004C0F32" w:rsidP="003B4F8E">
      <w:pPr>
        <w:pStyle w:val="Style1"/>
        <w:ind w:left="0"/>
        <w:jc w:val="both"/>
        <w:rPr>
          <w:b w:val="0"/>
        </w:rPr>
      </w:pPr>
      <w:r>
        <w:rPr>
          <w:noProof/>
          <w:lang w:val="ru-RU" w:eastAsia="ru-RU"/>
        </w:rPr>
        <w:lastRenderedPageBreak/>
        <w:drawing>
          <wp:anchor distT="0" distB="0" distL="0" distR="0" simplePos="0" relativeHeight="251659264" behindDoc="0" locked="0" layoutInCell="1" allowOverlap="1" wp14:anchorId="15331662" wp14:editId="63EE5FE0">
            <wp:simplePos x="0" y="0"/>
            <wp:positionH relativeFrom="margin">
              <wp:align>left</wp:align>
            </wp:positionH>
            <wp:positionV relativeFrom="paragraph">
              <wp:posOffset>156845</wp:posOffset>
            </wp:positionV>
            <wp:extent cx="4744720" cy="1904365"/>
            <wp:effectExtent l="0" t="0" r="0" b="635"/>
            <wp:wrapTopAndBottom/>
            <wp:docPr id="35"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5.jpeg"/>
                    <pic:cNvPicPr/>
                  </pic:nvPicPr>
                  <pic:blipFill>
                    <a:blip r:embed="rId7" cstate="print"/>
                    <a:stretch>
                      <a:fillRect/>
                    </a:stretch>
                  </pic:blipFill>
                  <pic:spPr>
                    <a:xfrm>
                      <a:off x="0" y="0"/>
                      <a:ext cx="4744720" cy="1904365"/>
                    </a:xfrm>
                    <a:prstGeom prst="rect">
                      <a:avLst/>
                    </a:prstGeom>
                  </pic:spPr>
                </pic:pic>
              </a:graphicData>
            </a:graphic>
            <wp14:sizeRelH relativeFrom="margin">
              <wp14:pctWidth>0</wp14:pctWidth>
            </wp14:sizeRelH>
            <wp14:sizeRelV relativeFrom="margin">
              <wp14:pctHeight>0</wp14:pctHeight>
            </wp14:sizeRelV>
          </wp:anchor>
        </w:drawing>
      </w:r>
    </w:p>
    <w:p w:rsidR="003B4F8E" w:rsidRDefault="0033508E" w:rsidP="003B4F8E">
      <w:pPr>
        <w:pStyle w:val="Style1"/>
        <w:ind w:left="0"/>
        <w:jc w:val="both"/>
        <w:rPr>
          <w:b w:val="0"/>
        </w:rPr>
      </w:pPr>
      <w:r w:rsidRPr="0033508E">
        <w:rPr>
          <w:b w:val="0"/>
        </w:rPr>
        <w:t xml:space="preserve">6. </w:t>
      </w:r>
      <w:r w:rsidR="003B4F8E">
        <w:rPr>
          <w:b w:val="0"/>
        </w:rPr>
        <w:t xml:space="preserve">   </w:t>
      </w:r>
      <w:r w:rsidRPr="0033508E">
        <w:rPr>
          <w:b w:val="0"/>
        </w:rPr>
        <w:t xml:space="preserve"> După adăugarea solventului, scoateți acul de aerisire și acul de transfer din flaconul cu pulbere de fluralaner. Aruncați acele. </w:t>
      </w:r>
    </w:p>
    <w:p w:rsidR="003B4F8E" w:rsidRDefault="0033508E" w:rsidP="003B4F8E">
      <w:pPr>
        <w:pStyle w:val="Style1"/>
        <w:ind w:left="0"/>
        <w:jc w:val="both"/>
        <w:rPr>
          <w:b w:val="0"/>
        </w:rPr>
      </w:pPr>
      <w:r w:rsidRPr="0033508E">
        <w:rPr>
          <w:b w:val="0"/>
        </w:rPr>
        <w:t xml:space="preserve">7. </w:t>
      </w:r>
      <w:r w:rsidR="003B4F8E">
        <w:rPr>
          <w:b w:val="0"/>
        </w:rPr>
        <w:t xml:space="preserve">  </w:t>
      </w:r>
      <w:r w:rsidRPr="0033508E">
        <w:rPr>
          <w:b w:val="0"/>
        </w:rPr>
        <w:t xml:space="preserve"> Agitați energic flaconul timp de cel puțin 30 de secunde până când se formează o suspensie complet omogenizată. Produsul reconstituit este o suspensie ușor vâscoasă de culoare albă opacă până la galben pal, practic lipsită de agregate. </w:t>
      </w:r>
    </w:p>
    <w:p w:rsidR="0033508E" w:rsidRPr="0033508E" w:rsidRDefault="0033508E" w:rsidP="003B4F8E">
      <w:pPr>
        <w:pStyle w:val="Style1"/>
        <w:ind w:left="0"/>
        <w:jc w:val="both"/>
        <w:rPr>
          <w:b w:val="0"/>
        </w:rPr>
      </w:pPr>
      <w:r w:rsidRPr="0033508E">
        <w:rPr>
          <w:b w:val="0"/>
        </w:rPr>
        <w:t xml:space="preserve">8. </w:t>
      </w:r>
      <w:r w:rsidR="003B4F8E">
        <w:rPr>
          <w:b w:val="0"/>
        </w:rPr>
        <w:t xml:space="preserve">     </w:t>
      </w:r>
      <w:r w:rsidRPr="0033508E">
        <w:rPr>
          <w:b w:val="0"/>
        </w:rPr>
        <w:t xml:space="preserve">Data de expirare tipărită pe eticheta flaconului de sticlă se referă la pulberea așa cum este ambalată pentru vânzare. După reconstituire, suspensia trebuie să fie eliminată în termen de 3 luni de la data reconstituirii. Scrieți data de eliminare pe eticheta flaconului de sticlă. </w:t>
      </w:r>
    </w:p>
    <w:p w:rsidR="003B4F8E" w:rsidRDefault="003B4F8E" w:rsidP="003B4F8E">
      <w:pPr>
        <w:pStyle w:val="Style1"/>
        <w:jc w:val="both"/>
        <w:rPr>
          <w:b w:val="0"/>
        </w:rPr>
      </w:pPr>
    </w:p>
    <w:p w:rsidR="0033508E" w:rsidRPr="003B4F8E" w:rsidRDefault="003B4F8E" w:rsidP="003B4F8E">
      <w:pPr>
        <w:pStyle w:val="Style1"/>
        <w:jc w:val="both"/>
        <w:rPr>
          <w:b w:val="0"/>
        </w:rPr>
      </w:pPr>
      <w:r w:rsidRPr="003B4F8E">
        <w:rPr>
          <w:b w:val="0"/>
        </w:rPr>
        <w:t>Metoda de administrare a suspensiei reconstituite la câine:</w:t>
      </w:r>
    </w:p>
    <w:p w:rsidR="00EA6150" w:rsidRDefault="00EA6150" w:rsidP="00A3008A">
      <w:pPr>
        <w:pStyle w:val="Style1"/>
        <w:jc w:val="both"/>
      </w:pPr>
    </w:p>
    <w:p w:rsidR="003B4F8E" w:rsidRDefault="00E22F11" w:rsidP="003B4F8E">
      <w:pPr>
        <w:pStyle w:val="Style1"/>
        <w:jc w:val="both"/>
        <w:rPr>
          <w:b w:val="0"/>
        </w:rPr>
      </w:pPr>
      <w:r>
        <w:rPr>
          <w:b w:val="0"/>
        </w:rPr>
        <w:t xml:space="preserve"> </w:t>
      </w:r>
      <w:r w:rsidR="003B4F8E" w:rsidRPr="003B4F8E">
        <w:rPr>
          <w:b w:val="0"/>
        </w:rPr>
        <w:t>1.   Determinați doza care trebuie administrată pe baza greutății corporale a câinelui.</w:t>
      </w:r>
    </w:p>
    <w:p w:rsidR="003B4F8E" w:rsidRDefault="003B4F8E" w:rsidP="003B4F8E">
      <w:pPr>
        <w:pStyle w:val="Style1"/>
        <w:jc w:val="both"/>
        <w:rPr>
          <w:b w:val="0"/>
        </w:rPr>
      </w:pPr>
      <w:r w:rsidRPr="003B4F8E">
        <w:rPr>
          <w:b w:val="0"/>
        </w:rPr>
        <w:t xml:space="preserve"> 2.  </w:t>
      </w:r>
      <w:r w:rsidR="00E22F11">
        <w:rPr>
          <w:b w:val="0"/>
        </w:rPr>
        <w:t xml:space="preserve"> </w:t>
      </w:r>
      <w:r w:rsidRPr="003B4F8E">
        <w:rPr>
          <w:b w:val="0"/>
        </w:rPr>
        <w:t>Utilizați o seringă sterilă și un ac steril de 18 G pentru administrare.</w:t>
      </w:r>
    </w:p>
    <w:p w:rsidR="003B4F8E" w:rsidRDefault="00E22F11" w:rsidP="00E22F11">
      <w:pPr>
        <w:pStyle w:val="Style1"/>
        <w:ind w:left="284"/>
        <w:jc w:val="both"/>
        <w:rPr>
          <w:b w:val="0"/>
        </w:rPr>
      </w:pPr>
      <w:r>
        <w:rPr>
          <w:b w:val="0"/>
        </w:rPr>
        <w:t xml:space="preserve">     </w:t>
      </w:r>
      <w:r w:rsidR="003B4F8E" w:rsidRPr="003B4F8E">
        <w:rPr>
          <w:b w:val="0"/>
        </w:rPr>
        <w:t xml:space="preserve"> 3.   Pulberea de fluralaner se va separa din suspensie la repaus. Înainte de fiecare utilizar</w:t>
      </w:r>
      <w:r w:rsidR="003B4F8E">
        <w:rPr>
          <w:b w:val="0"/>
        </w:rPr>
        <w:t xml:space="preserve">e, </w:t>
      </w:r>
      <w:r w:rsidR="003B4F8E" w:rsidRPr="003B4F8E">
        <w:rPr>
          <w:b w:val="0"/>
        </w:rPr>
        <w:t>agitați energic</w:t>
      </w:r>
      <w:r>
        <w:rPr>
          <w:b w:val="0"/>
        </w:rPr>
        <w:t xml:space="preserve">  </w:t>
      </w:r>
      <w:r w:rsidR="003B4F8E" w:rsidRPr="003B4F8E">
        <w:rPr>
          <w:b w:val="0"/>
        </w:rPr>
        <w:t xml:space="preserve">flaconul reconstituit timp de 30 de secunde pentru a obține o suspensie    uniformă. </w:t>
      </w:r>
    </w:p>
    <w:p w:rsidR="003B4F8E" w:rsidRDefault="003B4F8E" w:rsidP="003B4F8E">
      <w:pPr>
        <w:pStyle w:val="Style1"/>
        <w:jc w:val="both"/>
        <w:rPr>
          <w:b w:val="0"/>
        </w:rPr>
      </w:pPr>
      <w:r w:rsidRPr="003B4F8E">
        <w:rPr>
          <w:b w:val="0"/>
        </w:rPr>
        <w:t xml:space="preserve">4.  Poate fi necesar să se injecteze aer în flacon înainte de dozare.  </w:t>
      </w:r>
    </w:p>
    <w:p w:rsidR="003B4F8E" w:rsidRDefault="00E22F11" w:rsidP="003B4F8E">
      <w:pPr>
        <w:pStyle w:val="Style1"/>
        <w:jc w:val="both"/>
        <w:rPr>
          <w:b w:val="0"/>
        </w:rPr>
      </w:pPr>
      <w:r>
        <w:rPr>
          <w:b w:val="0"/>
        </w:rPr>
        <w:t xml:space="preserve">5. </w:t>
      </w:r>
      <w:r w:rsidR="003B4F8E" w:rsidRPr="003B4F8E">
        <w:rPr>
          <w:b w:val="0"/>
        </w:rPr>
        <w:t xml:space="preserve">Pentru a menține o suspensie uniformă și o dozare precisă, doza </w:t>
      </w:r>
      <w:r w:rsidR="003B4F8E">
        <w:rPr>
          <w:b w:val="0"/>
        </w:rPr>
        <w:t xml:space="preserve">trebuie administrată în        </w:t>
      </w:r>
      <w:r w:rsidR="003B4F8E" w:rsidRPr="003B4F8E">
        <w:rPr>
          <w:b w:val="0"/>
        </w:rPr>
        <w:t xml:space="preserve">aproximativ 5 minute după ce a fost trasă în seringa de dozare. </w:t>
      </w:r>
    </w:p>
    <w:p w:rsidR="00EA6150" w:rsidRPr="003B4F8E" w:rsidRDefault="003B4F8E" w:rsidP="003B4F8E">
      <w:pPr>
        <w:pStyle w:val="Style1"/>
        <w:jc w:val="both"/>
        <w:rPr>
          <w:b w:val="0"/>
        </w:rPr>
      </w:pPr>
      <w:r w:rsidRPr="003B4F8E">
        <w:rPr>
          <w:b w:val="0"/>
        </w:rPr>
        <w:t>6.   Injectați produsul subcutanat, de exemplu în regiunea dorso-scapulară.</w:t>
      </w:r>
    </w:p>
    <w:p w:rsidR="003B4F8E" w:rsidRDefault="003B4F8E" w:rsidP="003B4F8E">
      <w:pPr>
        <w:pStyle w:val="Style1"/>
        <w:ind w:left="0" w:firstLine="0"/>
        <w:jc w:val="both"/>
        <w:rPr>
          <w:b w:val="0"/>
        </w:rPr>
      </w:pPr>
      <w:r>
        <w:rPr>
          <w:b w:val="0"/>
        </w:rPr>
        <w:tab/>
      </w:r>
    </w:p>
    <w:p w:rsidR="003B4F8E" w:rsidRPr="003B4F8E" w:rsidRDefault="003B4F8E" w:rsidP="003B4F8E">
      <w:pPr>
        <w:pStyle w:val="Style1"/>
        <w:ind w:left="0" w:firstLine="0"/>
        <w:jc w:val="both"/>
        <w:rPr>
          <w:b w:val="0"/>
        </w:rPr>
      </w:pPr>
      <w:r w:rsidRPr="003B4F8E">
        <w:rPr>
          <w:b w:val="0"/>
        </w:rPr>
        <w:t xml:space="preserve">Nu perforați de mai mult de 20 de ori dopul flaconului care conține suspensia reconstituită.  Pentru reconstituirea după decantare, agitați energic flaconul timp de cel puțin 30 de secunde pentru a obține o suspensie uniformă. </w:t>
      </w:r>
    </w:p>
    <w:p w:rsidR="003B4F8E" w:rsidRDefault="003B4F8E" w:rsidP="003B4F8E">
      <w:pPr>
        <w:pStyle w:val="Style1"/>
        <w:jc w:val="both"/>
        <w:rPr>
          <w:b w:val="0"/>
          <w:u w:val="single"/>
        </w:rPr>
      </w:pPr>
    </w:p>
    <w:p w:rsidR="003B4F8E" w:rsidRDefault="003B4F8E" w:rsidP="003B4F8E">
      <w:pPr>
        <w:pStyle w:val="Style1"/>
        <w:jc w:val="both"/>
        <w:rPr>
          <w:b w:val="0"/>
        </w:rPr>
      </w:pPr>
      <w:r w:rsidRPr="003B4F8E">
        <w:rPr>
          <w:b w:val="0"/>
          <w:u w:val="single"/>
        </w:rPr>
        <w:t>Program de tratament</w:t>
      </w:r>
      <w:r w:rsidRPr="003B4F8E">
        <w:rPr>
          <w:b w:val="0"/>
        </w:rPr>
        <w:t xml:space="preserve"> </w:t>
      </w:r>
    </w:p>
    <w:p w:rsidR="00EA6150" w:rsidRPr="003B4F8E" w:rsidRDefault="003B4F8E" w:rsidP="003B4F8E">
      <w:pPr>
        <w:pStyle w:val="Style1"/>
        <w:ind w:left="0" w:firstLine="0"/>
        <w:jc w:val="both"/>
        <w:rPr>
          <w:b w:val="0"/>
        </w:rPr>
      </w:pPr>
      <w:r w:rsidRPr="003B4F8E">
        <w:rPr>
          <w:b w:val="0"/>
        </w:rPr>
        <w:t>În cazul infestărilor cu purici și căpușe, necesitatea și frecvența reluări</w:t>
      </w:r>
      <w:r>
        <w:rPr>
          <w:b w:val="0"/>
        </w:rPr>
        <w:t xml:space="preserve">i tratamentului (tratamentelor) </w:t>
      </w:r>
      <w:r w:rsidRPr="003B4F8E">
        <w:rPr>
          <w:b w:val="0"/>
        </w:rPr>
        <w:t>trebuie să se bazeze pe sfatul unui specialist și trebuie să țină cont de situația epidemiologică locală și de stilul de viață al animalului.Tratamentul cu acest produs medicinal veterinar poate începe în orice moment al anului și poate continua fără întrerupere. Vedeți și secțiunea „Atenționări speciale”.</w:t>
      </w:r>
    </w:p>
    <w:p w:rsidR="00A3008A" w:rsidRPr="00C32182" w:rsidRDefault="00A3008A" w:rsidP="00A3008A">
      <w:pPr>
        <w:tabs>
          <w:tab w:val="clear" w:pos="567"/>
        </w:tabs>
        <w:spacing w:line="240" w:lineRule="auto"/>
        <w:jc w:val="both"/>
        <w:rPr>
          <w:iCs/>
          <w:szCs w:val="22"/>
        </w:rPr>
      </w:pPr>
    </w:p>
    <w:p w:rsidR="00A3008A" w:rsidRPr="00F14D1D" w:rsidRDefault="00A3008A" w:rsidP="00A3008A">
      <w:pPr>
        <w:pStyle w:val="Style1"/>
        <w:jc w:val="both"/>
      </w:pPr>
      <w:r w:rsidRPr="00C32182">
        <w:rPr>
          <w:highlight w:val="lightGray"/>
        </w:rPr>
        <w:t>10.</w:t>
      </w:r>
      <w:r w:rsidRPr="00C32182">
        <w:tab/>
        <w:t>Perioade de așteptare</w:t>
      </w:r>
    </w:p>
    <w:p w:rsidR="00A3008A" w:rsidRDefault="002F3CA3" w:rsidP="00A3008A">
      <w:pPr>
        <w:tabs>
          <w:tab w:val="clear" w:pos="567"/>
        </w:tabs>
        <w:spacing w:line="240" w:lineRule="auto"/>
        <w:jc w:val="both"/>
        <w:rPr>
          <w:iCs/>
          <w:szCs w:val="22"/>
        </w:rPr>
      </w:pPr>
      <w:r w:rsidRPr="002F3CA3">
        <w:rPr>
          <w:iCs/>
          <w:szCs w:val="22"/>
        </w:rPr>
        <w:t>Nu se aplică.</w:t>
      </w:r>
    </w:p>
    <w:p w:rsidR="002F3CA3" w:rsidRPr="00C32182" w:rsidRDefault="002F3CA3" w:rsidP="00A3008A">
      <w:pPr>
        <w:tabs>
          <w:tab w:val="clear" w:pos="567"/>
        </w:tabs>
        <w:spacing w:line="240" w:lineRule="auto"/>
        <w:jc w:val="both"/>
        <w:rPr>
          <w:iCs/>
          <w:szCs w:val="22"/>
        </w:rPr>
      </w:pPr>
    </w:p>
    <w:p w:rsidR="00A3008A" w:rsidRPr="00C32182" w:rsidRDefault="00A3008A" w:rsidP="00A3008A">
      <w:pPr>
        <w:pStyle w:val="Style1"/>
        <w:jc w:val="both"/>
      </w:pPr>
      <w:r w:rsidRPr="00C32182">
        <w:rPr>
          <w:highlight w:val="lightGray"/>
        </w:rPr>
        <w:t>11.</w:t>
      </w:r>
      <w:r w:rsidRPr="00C32182">
        <w:tab/>
        <w:t>Precauții speciale pentru depozitare</w:t>
      </w:r>
    </w:p>
    <w:p w:rsidR="003B4F8E" w:rsidRPr="003B4F8E" w:rsidRDefault="003B4F8E" w:rsidP="003B4F8E">
      <w:pPr>
        <w:tabs>
          <w:tab w:val="clear" w:pos="567"/>
        </w:tabs>
        <w:spacing w:line="240" w:lineRule="auto"/>
        <w:jc w:val="both"/>
        <w:rPr>
          <w:szCs w:val="22"/>
        </w:rPr>
      </w:pPr>
      <w:r w:rsidRPr="003B4F8E">
        <w:rPr>
          <w:szCs w:val="22"/>
        </w:rPr>
        <w:t xml:space="preserve">A nu se păstra la vederea și îndemâna copiilor. </w:t>
      </w:r>
    </w:p>
    <w:p w:rsidR="003B4F8E" w:rsidRDefault="003B4F8E" w:rsidP="003B4F8E">
      <w:pPr>
        <w:tabs>
          <w:tab w:val="clear" w:pos="567"/>
        </w:tabs>
        <w:spacing w:line="240" w:lineRule="auto"/>
        <w:jc w:val="both"/>
        <w:rPr>
          <w:szCs w:val="22"/>
        </w:rPr>
      </w:pPr>
      <w:r w:rsidRPr="003B4F8E">
        <w:rPr>
          <w:szCs w:val="22"/>
        </w:rPr>
        <w:t xml:space="preserve">Acest produs medicinal de uz veterinar, așa cum este ambalat pentru vânzare, nu necesită condiții de temperatură speciale pentru depozitare. </w:t>
      </w:r>
    </w:p>
    <w:p w:rsidR="003B4F8E" w:rsidRDefault="003B4F8E" w:rsidP="003B4F8E">
      <w:pPr>
        <w:tabs>
          <w:tab w:val="clear" w:pos="567"/>
        </w:tabs>
        <w:spacing w:line="240" w:lineRule="auto"/>
        <w:jc w:val="both"/>
        <w:rPr>
          <w:szCs w:val="22"/>
        </w:rPr>
      </w:pPr>
      <w:r w:rsidRPr="003B4F8E">
        <w:rPr>
          <w:szCs w:val="22"/>
        </w:rPr>
        <w:t xml:space="preserve">După reconstituire, se păstrează la temperaturi sub 30 °C. </w:t>
      </w:r>
    </w:p>
    <w:p w:rsidR="003B4F8E" w:rsidRDefault="003B4F8E" w:rsidP="003B4F8E">
      <w:pPr>
        <w:tabs>
          <w:tab w:val="clear" w:pos="567"/>
        </w:tabs>
        <w:spacing w:line="240" w:lineRule="auto"/>
        <w:jc w:val="both"/>
        <w:rPr>
          <w:szCs w:val="22"/>
        </w:rPr>
      </w:pPr>
      <w:r w:rsidRPr="003B4F8E">
        <w:rPr>
          <w:szCs w:val="22"/>
        </w:rPr>
        <w:t xml:space="preserve">Nu utilizați acest produs medicinal veterinar după data expirării marcată  pe etichetă după Exp. </w:t>
      </w:r>
    </w:p>
    <w:p w:rsidR="003B4F8E" w:rsidRDefault="003B4F8E" w:rsidP="003B4F8E">
      <w:pPr>
        <w:tabs>
          <w:tab w:val="clear" w:pos="567"/>
        </w:tabs>
        <w:spacing w:line="240" w:lineRule="auto"/>
        <w:jc w:val="both"/>
        <w:rPr>
          <w:szCs w:val="22"/>
        </w:rPr>
      </w:pPr>
      <w:r w:rsidRPr="003B4F8E">
        <w:rPr>
          <w:szCs w:val="22"/>
        </w:rPr>
        <w:t xml:space="preserve">Data de expirare se referă la ultima zi a lunii respective. </w:t>
      </w:r>
    </w:p>
    <w:p w:rsidR="003B4F8E" w:rsidRPr="003B4F8E" w:rsidRDefault="003B4F8E" w:rsidP="003B4F8E">
      <w:pPr>
        <w:tabs>
          <w:tab w:val="clear" w:pos="567"/>
        </w:tabs>
        <w:spacing w:line="240" w:lineRule="auto"/>
        <w:jc w:val="both"/>
        <w:rPr>
          <w:szCs w:val="22"/>
        </w:rPr>
      </w:pPr>
      <w:r w:rsidRPr="003B4F8E">
        <w:rPr>
          <w:szCs w:val="22"/>
        </w:rPr>
        <w:t xml:space="preserve">Termenul de valabilitate după reconstituirea suspensiei conform indicațiilor: 3 luni. </w:t>
      </w:r>
    </w:p>
    <w:p w:rsidR="003B4F8E" w:rsidRPr="003B4F8E" w:rsidRDefault="003B4F8E" w:rsidP="003B4F8E">
      <w:pPr>
        <w:tabs>
          <w:tab w:val="clear" w:pos="567"/>
        </w:tabs>
        <w:spacing w:line="240" w:lineRule="auto"/>
        <w:jc w:val="both"/>
        <w:rPr>
          <w:szCs w:val="22"/>
        </w:rPr>
      </w:pPr>
      <w:r w:rsidRPr="003B4F8E">
        <w:rPr>
          <w:szCs w:val="22"/>
        </w:rPr>
        <w:t xml:space="preserve"> </w:t>
      </w:r>
    </w:p>
    <w:p w:rsidR="00A3008A" w:rsidRPr="003B4F8E" w:rsidRDefault="00A3008A" w:rsidP="003B4F8E">
      <w:pPr>
        <w:tabs>
          <w:tab w:val="clear" w:pos="567"/>
        </w:tabs>
        <w:spacing w:line="240" w:lineRule="auto"/>
        <w:jc w:val="both"/>
        <w:rPr>
          <w:szCs w:val="22"/>
        </w:rPr>
      </w:pPr>
    </w:p>
    <w:p w:rsidR="00A3008A" w:rsidRPr="00C32182" w:rsidRDefault="00A3008A" w:rsidP="00A3008A">
      <w:pPr>
        <w:pStyle w:val="Style1"/>
        <w:jc w:val="both"/>
      </w:pPr>
      <w:r w:rsidRPr="00C32182">
        <w:rPr>
          <w:highlight w:val="lightGray"/>
        </w:rPr>
        <w:lastRenderedPageBreak/>
        <w:t>12.</w:t>
      </w:r>
      <w:r w:rsidRPr="00C32182">
        <w:tab/>
        <w:t>Precauții speciale pentru eliminare</w:t>
      </w:r>
    </w:p>
    <w:p w:rsidR="003B4F8E" w:rsidRDefault="003B4F8E" w:rsidP="003B4F8E">
      <w:pPr>
        <w:tabs>
          <w:tab w:val="clear" w:pos="567"/>
        </w:tabs>
        <w:spacing w:line="240" w:lineRule="auto"/>
        <w:jc w:val="both"/>
        <w:rPr>
          <w:szCs w:val="22"/>
        </w:rPr>
      </w:pPr>
      <w:r w:rsidRPr="003B4F8E">
        <w:rPr>
          <w:szCs w:val="22"/>
        </w:rPr>
        <w:t xml:space="preserve">Medicamentele nu trebuie eliminate în apele uzate sau deșeurile menajere. </w:t>
      </w:r>
    </w:p>
    <w:p w:rsidR="00864FD9" w:rsidRDefault="003B4F8E" w:rsidP="003B4F8E">
      <w:pPr>
        <w:tabs>
          <w:tab w:val="clear" w:pos="567"/>
        </w:tabs>
        <w:spacing w:line="240" w:lineRule="auto"/>
        <w:jc w:val="both"/>
        <w:rPr>
          <w:szCs w:val="22"/>
        </w:rPr>
      </w:pPr>
      <w:r w:rsidRPr="003B4F8E">
        <w:rPr>
          <w:szCs w:val="22"/>
        </w:rPr>
        <w:t>Acest produs medicinal veterinar nu trebuie să ajungă în cursurile de apă, deoarece fluralanerul poate fi periculos pentru pești și alte organisme acvatice.</w:t>
      </w:r>
    </w:p>
    <w:p w:rsidR="00864FD9" w:rsidRDefault="003B4F8E" w:rsidP="003B4F8E">
      <w:pPr>
        <w:tabs>
          <w:tab w:val="clear" w:pos="567"/>
        </w:tabs>
        <w:spacing w:line="240" w:lineRule="auto"/>
        <w:jc w:val="both"/>
        <w:rPr>
          <w:szCs w:val="22"/>
        </w:rPr>
      </w:pPr>
      <w:r w:rsidRPr="003B4F8E">
        <w:rPr>
          <w:szCs w:val="22"/>
        </w:rPr>
        <w:t xml:space="preserve">Utilizați sistemele de returnare a produselor medicinale veterinare neutilizate sau a deșeurilor provenite din acestea, în conformitate cu cerințele locale și cu sistemele naționale de colectare aplicabile. </w:t>
      </w:r>
    </w:p>
    <w:p w:rsidR="003B4F8E" w:rsidRPr="003B4F8E" w:rsidRDefault="003B4F8E" w:rsidP="003B4F8E">
      <w:pPr>
        <w:tabs>
          <w:tab w:val="clear" w:pos="567"/>
        </w:tabs>
        <w:spacing w:line="240" w:lineRule="auto"/>
        <w:jc w:val="both"/>
        <w:rPr>
          <w:szCs w:val="22"/>
        </w:rPr>
      </w:pPr>
      <w:r w:rsidRPr="003B4F8E">
        <w:rPr>
          <w:szCs w:val="22"/>
        </w:rPr>
        <w:t xml:space="preserve">Aceste măsuri ar trebui să contribuie la protecția mediului. </w:t>
      </w:r>
    </w:p>
    <w:p w:rsidR="003B4F8E" w:rsidRPr="003B4F8E" w:rsidRDefault="003B4F8E" w:rsidP="003B4F8E">
      <w:pPr>
        <w:tabs>
          <w:tab w:val="clear" w:pos="567"/>
        </w:tabs>
        <w:spacing w:line="240" w:lineRule="auto"/>
        <w:jc w:val="both"/>
        <w:rPr>
          <w:szCs w:val="22"/>
        </w:rPr>
      </w:pPr>
      <w:r w:rsidRPr="003B4F8E">
        <w:rPr>
          <w:szCs w:val="22"/>
        </w:rPr>
        <w:t xml:space="preserve"> </w:t>
      </w:r>
    </w:p>
    <w:p w:rsidR="00A3008A" w:rsidRPr="00C32182" w:rsidRDefault="00A3008A" w:rsidP="00A3008A">
      <w:pPr>
        <w:pStyle w:val="Style1"/>
        <w:jc w:val="both"/>
      </w:pPr>
      <w:r w:rsidRPr="00C32182">
        <w:rPr>
          <w:highlight w:val="lightGray"/>
        </w:rPr>
        <w:t>13.</w:t>
      </w:r>
      <w:r w:rsidRPr="00C32182">
        <w:tab/>
        <w:t xml:space="preserve">Clasificarea </w:t>
      </w:r>
      <w:r w:rsidRPr="000A3491">
        <w:t>medicament</w:t>
      </w:r>
      <w:r>
        <w:t>elor</w:t>
      </w:r>
      <w:r w:rsidRPr="000A3491">
        <w:t xml:space="preserve"> de uz veterinar</w:t>
      </w:r>
    </w:p>
    <w:p w:rsidR="00A3008A" w:rsidRPr="00C32182" w:rsidRDefault="00086F60" w:rsidP="00A3008A">
      <w:pPr>
        <w:tabs>
          <w:tab w:val="clear" w:pos="567"/>
        </w:tabs>
        <w:spacing w:line="240" w:lineRule="auto"/>
        <w:jc w:val="both"/>
        <w:rPr>
          <w:szCs w:val="22"/>
        </w:rPr>
      </w:pPr>
      <w:r>
        <w:rPr>
          <w:szCs w:val="22"/>
        </w:rPr>
        <w:t>Ectoparaziticid pentru uz sistemic.</w:t>
      </w:r>
    </w:p>
    <w:p w:rsidR="00A3008A" w:rsidRPr="00C32182" w:rsidRDefault="00A3008A" w:rsidP="00A3008A">
      <w:pPr>
        <w:tabs>
          <w:tab w:val="clear" w:pos="567"/>
        </w:tabs>
        <w:spacing w:line="240" w:lineRule="auto"/>
        <w:jc w:val="both"/>
        <w:rPr>
          <w:szCs w:val="22"/>
        </w:rPr>
      </w:pPr>
    </w:p>
    <w:p w:rsidR="00A3008A" w:rsidRPr="00C32182" w:rsidRDefault="00A3008A" w:rsidP="00A3008A">
      <w:pPr>
        <w:pStyle w:val="Style1"/>
        <w:jc w:val="both"/>
      </w:pPr>
      <w:r w:rsidRPr="00C32182">
        <w:rPr>
          <w:highlight w:val="lightGray"/>
        </w:rPr>
        <w:t>14.</w:t>
      </w:r>
      <w:r w:rsidRPr="00C32182">
        <w:tab/>
        <w:t xml:space="preserve">Numerele </w:t>
      </w:r>
      <w:r>
        <w:t>certificatelor de înregistrare</w:t>
      </w:r>
      <w:r w:rsidRPr="00C32182">
        <w:t xml:space="preserve"> și dimensiunile ambalajelor</w:t>
      </w:r>
    </w:p>
    <w:p w:rsidR="00A3008A" w:rsidRPr="00C32182" w:rsidRDefault="00A3008A" w:rsidP="00A3008A">
      <w:pPr>
        <w:tabs>
          <w:tab w:val="clear" w:pos="567"/>
        </w:tabs>
        <w:spacing w:line="240" w:lineRule="auto"/>
        <w:jc w:val="both"/>
        <w:rPr>
          <w:szCs w:val="22"/>
        </w:rPr>
      </w:pPr>
      <w:r w:rsidRPr="00C32182">
        <w:rPr>
          <w:szCs w:val="22"/>
        </w:rPr>
        <w:t>Este posibil ca nu toate dimensiunile de ambalaj să fie comercializate.</w:t>
      </w:r>
    </w:p>
    <w:p w:rsidR="00A3008A" w:rsidRPr="00C32182" w:rsidRDefault="00A3008A" w:rsidP="00A3008A">
      <w:pPr>
        <w:tabs>
          <w:tab w:val="clear" w:pos="567"/>
        </w:tabs>
        <w:spacing w:line="240" w:lineRule="auto"/>
        <w:jc w:val="both"/>
        <w:rPr>
          <w:szCs w:val="22"/>
        </w:rPr>
      </w:pPr>
    </w:p>
    <w:p w:rsidR="00A3008A" w:rsidRPr="00C32182" w:rsidRDefault="00A3008A" w:rsidP="00A3008A">
      <w:pPr>
        <w:pStyle w:val="Style1"/>
        <w:jc w:val="both"/>
      </w:pPr>
      <w:r w:rsidRPr="00C32182">
        <w:rPr>
          <w:highlight w:val="lightGray"/>
        </w:rPr>
        <w:t>15.</w:t>
      </w:r>
      <w:r w:rsidRPr="00C32182">
        <w:tab/>
        <w:t>Data ultimei revizuiri a prospectului</w:t>
      </w:r>
    </w:p>
    <w:p w:rsidR="00A3008A" w:rsidRPr="00C32182" w:rsidRDefault="00086F60" w:rsidP="00A3008A">
      <w:pPr>
        <w:tabs>
          <w:tab w:val="clear" w:pos="567"/>
        </w:tabs>
        <w:spacing w:line="240" w:lineRule="auto"/>
        <w:jc w:val="both"/>
        <w:rPr>
          <w:szCs w:val="22"/>
        </w:rPr>
      </w:pPr>
      <w:r>
        <w:rPr>
          <w:szCs w:val="22"/>
        </w:rPr>
        <w:t>07.2024</w:t>
      </w:r>
    </w:p>
    <w:p w:rsidR="00A3008A" w:rsidRPr="00C32182" w:rsidRDefault="00A3008A" w:rsidP="00A3008A">
      <w:pPr>
        <w:ind w:right="-318"/>
        <w:jc w:val="both"/>
        <w:rPr>
          <w:szCs w:val="22"/>
        </w:rPr>
      </w:pPr>
      <w:r w:rsidRPr="00C32182">
        <w:rPr>
          <w:szCs w:val="22"/>
        </w:rPr>
        <w:t xml:space="preserve">Informații detaliate privind acest </w:t>
      </w:r>
      <w:r>
        <w:rPr>
          <w:szCs w:val="22"/>
        </w:rPr>
        <w:t>m</w:t>
      </w:r>
      <w:r w:rsidRPr="00160F38">
        <w:rPr>
          <w:szCs w:val="22"/>
        </w:rPr>
        <w:t xml:space="preserve">edicament de uz veterinar </w:t>
      </w:r>
      <w:r w:rsidRPr="00C32182">
        <w:rPr>
          <w:szCs w:val="22"/>
        </w:rPr>
        <w:t xml:space="preserve">sunt disponibile în Baza de Date a </w:t>
      </w:r>
      <w:r>
        <w:rPr>
          <w:szCs w:val="22"/>
        </w:rPr>
        <w:t xml:space="preserve">Republicii Moldova - </w:t>
      </w:r>
      <w:r w:rsidRPr="002A3D54">
        <w:rPr>
          <w:szCs w:val="22"/>
        </w:rPr>
        <w:t>Registru</w:t>
      </w:r>
      <w:r>
        <w:rPr>
          <w:szCs w:val="22"/>
        </w:rPr>
        <w:t>l</w:t>
      </w:r>
      <w:r w:rsidRPr="002A3D54">
        <w:rPr>
          <w:szCs w:val="22"/>
        </w:rPr>
        <w:t xml:space="preserve"> de </w:t>
      </w:r>
      <w:r>
        <w:rPr>
          <w:szCs w:val="22"/>
        </w:rPr>
        <w:t>S</w:t>
      </w:r>
      <w:r w:rsidRPr="002A3D54">
        <w:rPr>
          <w:szCs w:val="22"/>
        </w:rPr>
        <w:t>tat al medicamentelor de uz veterinar</w:t>
      </w:r>
      <w:r w:rsidRPr="00C32182">
        <w:rPr>
          <w:szCs w:val="22"/>
        </w:rPr>
        <w:t xml:space="preserve"> (</w:t>
      </w:r>
      <w:hyperlink r:id="rId8" w:history="1">
        <w:r w:rsidRPr="00185B8A">
          <w:rPr>
            <w:rStyle w:val="a5"/>
            <w:szCs w:val="22"/>
          </w:rPr>
          <w:t>https://registru.ansa.gov.md/</w:t>
        </w:r>
      </w:hyperlink>
      <w:r>
        <w:rPr>
          <w:szCs w:val="22"/>
        </w:rPr>
        <w:t>)</w:t>
      </w:r>
      <w:r w:rsidRPr="00C32182">
        <w:rPr>
          <w:szCs w:val="22"/>
        </w:rPr>
        <w:t>.</w:t>
      </w:r>
    </w:p>
    <w:p w:rsidR="00A3008A" w:rsidRPr="00C32182" w:rsidRDefault="00A3008A" w:rsidP="00A3008A">
      <w:pPr>
        <w:tabs>
          <w:tab w:val="clear" w:pos="567"/>
        </w:tabs>
        <w:spacing w:line="240" w:lineRule="auto"/>
        <w:jc w:val="both"/>
        <w:rPr>
          <w:szCs w:val="22"/>
        </w:rPr>
      </w:pPr>
    </w:p>
    <w:p w:rsidR="00A3008A" w:rsidRPr="00C32182" w:rsidRDefault="00A3008A" w:rsidP="00A3008A">
      <w:pPr>
        <w:pStyle w:val="Style1"/>
        <w:jc w:val="both"/>
      </w:pPr>
      <w:r w:rsidRPr="00C32182">
        <w:rPr>
          <w:highlight w:val="lightGray"/>
        </w:rPr>
        <w:t>16.</w:t>
      </w:r>
      <w:r w:rsidRPr="00C32182">
        <w:tab/>
        <w:t>Date de contact</w:t>
      </w:r>
      <w:r>
        <w:t xml:space="preserve"> </w:t>
      </w:r>
    </w:p>
    <w:p w:rsidR="00086F60" w:rsidRDefault="00086F60" w:rsidP="00A3008A">
      <w:pPr>
        <w:jc w:val="both"/>
        <w:rPr>
          <w:iCs/>
          <w:szCs w:val="22"/>
          <w:u w:val="single"/>
        </w:rPr>
      </w:pPr>
      <w:bookmarkStart w:id="0" w:name="_Hlk73552578"/>
    </w:p>
    <w:p w:rsidR="00A3008A" w:rsidRPr="00C32182" w:rsidRDefault="00A3008A" w:rsidP="00A3008A">
      <w:pPr>
        <w:jc w:val="both"/>
        <w:rPr>
          <w:iCs/>
          <w:szCs w:val="22"/>
        </w:rPr>
      </w:pPr>
      <w:r w:rsidRPr="00C32182">
        <w:rPr>
          <w:iCs/>
          <w:szCs w:val="22"/>
          <w:u w:val="single"/>
        </w:rPr>
        <w:t xml:space="preserve">Deținătorul </w:t>
      </w:r>
      <w:r>
        <w:rPr>
          <w:iCs/>
          <w:szCs w:val="22"/>
          <w:u w:val="single"/>
        </w:rPr>
        <w:t>certificatului de înregistrare</w:t>
      </w:r>
      <w:r w:rsidRPr="00C32182">
        <w:rPr>
          <w:iCs/>
          <w:szCs w:val="22"/>
          <w:u w:val="single"/>
        </w:rPr>
        <w:t xml:space="preserve"> și producătorul responsabil pentru eliberarea seriei</w:t>
      </w:r>
      <w:r w:rsidR="00086F60">
        <w:rPr>
          <w:iCs/>
          <w:szCs w:val="22"/>
          <w:u w:val="single"/>
        </w:rPr>
        <w:t xml:space="preserve"> </w:t>
      </w:r>
      <w:r w:rsidRPr="00C32182">
        <w:rPr>
          <w:iCs/>
          <w:szCs w:val="22"/>
          <w:u w:val="single"/>
        </w:rPr>
        <w:t>și date de contact pentru raportarea reacțiilor adverse suspectate</w:t>
      </w:r>
      <w:r w:rsidRPr="00C32182">
        <w:rPr>
          <w:szCs w:val="22"/>
        </w:rPr>
        <w:t>:</w:t>
      </w:r>
    </w:p>
    <w:bookmarkEnd w:id="0"/>
    <w:p w:rsidR="00086F60" w:rsidRDefault="00086F60" w:rsidP="00A3008A">
      <w:pPr>
        <w:tabs>
          <w:tab w:val="clear" w:pos="567"/>
        </w:tabs>
        <w:spacing w:line="240" w:lineRule="auto"/>
        <w:jc w:val="both"/>
        <w:rPr>
          <w:szCs w:val="22"/>
        </w:rPr>
      </w:pPr>
      <w:r w:rsidRPr="00086F60">
        <w:rPr>
          <w:szCs w:val="22"/>
        </w:rPr>
        <w:t>Intervet GesmbH</w:t>
      </w:r>
    </w:p>
    <w:p w:rsidR="00086F60" w:rsidRDefault="00086F60" w:rsidP="00A3008A">
      <w:pPr>
        <w:tabs>
          <w:tab w:val="clear" w:pos="567"/>
        </w:tabs>
        <w:spacing w:line="240" w:lineRule="auto"/>
        <w:jc w:val="both"/>
        <w:rPr>
          <w:szCs w:val="22"/>
        </w:rPr>
      </w:pPr>
      <w:r w:rsidRPr="00086F60">
        <w:rPr>
          <w:szCs w:val="22"/>
        </w:rPr>
        <w:t xml:space="preserve"> Siemensstrasse 107 </w:t>
      </w:r>
    </w:p>
    <w:p w:rsidR="00086F60" w:rsidRDefault="00086F60" w:rsidP="00A3008A">
      <w:pPr>
        <w:tabs>
          <w:tab w:val="clear" w:pos="567"/>
        </w:tabs>
        <w:spacing w:line="240" w:lineRule="auto"/>
        <w:jc w:val="both"/>
        <w:rPr>
          <w:szCs w:val="22"/>
        </w:rPr>
      </w:pPr>
      <w:r w:rsidRPr="00086F60">
        <w:rPr>
          <w:szCs w:val="22"/>
        </w:rPr>
        <w:t>1210 Vienna</w:t>
      </w:r>
    </w:p>
    <w:p w:rsidR="00A3008A" w:rsidRPr="00C32182" w:rsidRDefault="00086F60" w:rsidP="00A3008A">
      <w:pPr>
        <w:tabs>
          <w:tab w:val="clear" w:pos="567"/>
        </w:tabs>
        <w:spacing w:line="240" w:lineRule="auto"/>
        <w:jc w:val="both"/>
        <w:rPr>
          <w:szCs w:val="22"/>
        </w:rPr>
      </w:pPr>
      <w:r w:rsidRPr="00086F60">
        <w:rPr>
          <w:szCs w:val="22"/>
        </w:rPr>
        <w:t xml:space="preserve"> Austria</w:t>
      </w:r>
    </w:p>
    <w:p w:rsidR="00A3008A" w:rsidRPr="00C32182" w:rsidRDefault="00A3008A" w:rsidP="00A3008A">
      <w:pPr>
        <w:jc w:val="both"/>
        <w:rPr>
          <w:bCs/>
          <w:szCs w:val="22"/>
        </w:rPr>
      </w:pPr>
    </w:p>
    <w:p w:rsidR="00A3008A" w:rsidRPr="00C32182" w:rsidRDefault="00A3008A" w:rsidP="00A3008A">
      <w:pPr>
        <w:tabs>
          <w:tab w:val="clear" w:pos="567"/>
        </w:tabs>
        <w:spacing w:line="240" w:lineRule="auto"/>
        <w:jc w:val="both"/>
        <w:rPr>
          <w:szCs w:val="22"/>
        </w:rPr>
      </w:pPr>
      <w:r w:rsidRPr="00C32182">
        <w:rPr>
          <w:szCs w:val="22"/>
        </w:rPr>
        <w:t xml:space="preserve">Pentru orice informații referitoare la acest </w:t>
      </w:r>
      <w:r>
        <w:rPr>
          <w:szCs w:val="22"/>
        </w:rPr>
        <w:t>medicament de uz veterinar</w:t>
      </w:r>
      <w:r w:rsidRPr="00C32182">
        <w:rPr>
          <w:szCs w:val="22"/>
        </w:rPr>
        <w:t xml:space="preserve">, vă rugăm să contactați reprezentantul local al deținătorului </w:t>
      </w:r>
      <w:r>
        <w:rPr>
          <w:szCs w:val="22"/>
        </w:rPr>
        <w:t>certificatului de înregistrare</w:t>
      </w:r>
      <w:r w:rsidRPr="00C32182">
        <w:rPr>
          <w:szCs w:val="22"/>
        </w:rPr>
        <w:t>.</w:t>
      </w:r>
    </w:p>
    <w:tbl>
      <w:tblPr>
        <w:tblW w:w="0" w:type="auto"/>
        <w:tblLook w:val="04A0" w:firstRow="1" w:lastRow="0" w:firstColumn="1" w:lastColumn="0" w:noHBand="0" w:noVBand="1"/>
      </w:tblPr>
      <w:tblGrid>
        <w:gridCol w:w="5007"/>
      </w:tblGrid>
      <w:tr w:rsidR="00A3008A" w:rsidRPr="00C32182" w:rsidTr="00086F60">
        <w:trPr>
          <w:cantSplit/>
          <w:trHeight w:val="261"/>
        </w:trPr>
        <w:tc>
          <w:tcPr>
            <w:tcW w:w="5007" w:type="dxa"/>
            <w:shd w:val="clear" w:color="auto" w:fill="auto"/>
          </w:tcPr>
          <w:p w:rsidR="00A3008A" w:rsidRPr="00C32182" w:rsidRDefault="00A3008A" w:rsidP="00A069DA">
            <w:pPr>
              <w:jc w:val="both"/>
              <w:rPr>
                <w:b/>
                <w:szCs w:val="22"/>
                <w:lang w:val="fr-FR"/>
              </w:rPr>
            </w:pPr>
          </w:p>
        </w:tc>
      </w:tr>
      <w:tr w:rsidR="00A3008A" w:rsidRPr="00C32182" w:rsidTr="00086F60">
        <w:trPr>
          <w:cantSplit/>
          <w:trHeight w:val="2088"/>
        </w:trPr>
        <w:tc>
          <w:tcPr>
            <w:tcW w:w="5007" w:type="dxa"/>
            <w:shd w:val="clear" w:color="auto" w:fill="auto"/>
          </w:tcPr>
          <w:p w:rsidR="00A3008A" w:rsidRPr="00C32182" w:rsidRDefault="00A3008A" w:rsidP="00A069DA">
            <w:pPr>
              <w:tabs>
                <w:tab w:val="left" w:pos="-720"/>
                <w:tab w:val="left" w:pos="4536"/>
              </w:tabs>
              <w:suppressAutoHyphens/>
              <w:jc w:val="both"/>
              <w:rPr>
                <w:b/>
                <w:szCs w:val="22"/>
              </w:rPr>
            </w:pPr>
            <w:r>
              <w:rPr>
                <w:b/>
                <w:szCs w:val="22"/>
                <w:lang w:val="nb-NO"/>
              </w:rPr>
              <w:t xml:space="preserve">Republica Moldova </w:t>
            </w:r>
          </w:p>
          <w:p w:rsidR="00086F60" w:rsidRDefault="00086F60" w:rsidP="00086F60">
            <w:pPr>
              <w:tabs>
                <w:tab w:val="left" w:pos="-720"/>
                <w:tab w:val="left" w:pos="4536"/>
              </w:tabs>
              <w:suppressAutoHyphens/>
              <w:jc w:val="both"/>
              <w:rPr>
                <w:bCs/>
                <w:iCs/>
                <w:szCs w:val="22"/>
              </w:rPr>
            </w:pPr>
            <w:r w:rsidRPr="00086F60">
              <w:rPr>
                <w:bCs/>
                <w:iCs/>
                <w:szCs w:val="22"/>
              </w:rPr>
              <w:t>SA "Farmavet", Chișinău, Petricani 198.</w:t>
            </w:r>
          </w:p>
          <w:p w:rsidR="00086F60" w:rsidRPr="00086F60" w:rsidRDefault="00086F60" w:rsidP="00086F60">
            <w:pPr>
              <w:tabs>
                <w:tab w:val="left" w:pos="-720"/>
                <w:tab w:val="left" w:pos="4714"/>
              </w:tabs>
              <w:suppressAutoHyphens/>
              <w:ind w:right="-401"/>
              <w:jc w:val="both"/>
              <w:rPr>
                <w:bCs/>
                <w:iCs/>
                <w:szCs w:val="22"/>
              </w:rPr>
            </w:pPr>
            <w:r w:rsidRPr="00086F60">
              <w:rPr>
                <w:bCs/>
                <w:iCs/>
                <w:szCs w:val="22"/>
              </w:rPr>
              <w:t>Tel.:  022 - 31-72-70; 022-31-72-67; 022-</w:t>
            </w:r>
            <w:r>
              <w:rPr>
                <w:bCs/>
                <w:iCs/>
                <w:szCs w:val="22"/>
              </w:rPr>
              <w:t xml:space="preserve"> 99-92</w:t>
            </w:r>
            <w:r w:rsidRPr="00086F60">
              <w:rPr>
                <w:bCs/>
                <w:iCs/>
                <w:szCs w:val="22"/>
              </w:rPr>
              <w:t>89;</w:t>
            </w:r>
          </w:p>
          <w:p w:rsidR="00086F60" w:rsidRPr="00086F60" w:rsidRDefault="00086F60" w:rsidP="00086F60">
            <w:pPr>
              <w:tabs>
                <w:tab w:val="left" w:pos="-720"/>
                <w:tab w:val="left" w:pos="4536"/>
              </w:tabs>
              <w:suppressAutoHyphens/>
              <w:jc w:val="both"/>
              <w:rPr>
                <w:bCs/>
                <w:iCs/>
                <w:szCs w:val="22"/>
              </w:rPr>
            </w:pPr>
            <w:r w:rsidRPr="00086F60">
              <w:rPr>
                <w:bCs/>
                <w:iCs/>
                <w:szCs w:val="22"/>
              </w:rPr>
              <w:t xml:space="preserve">Fax: 022-31-72-68; www.farmavet.md </w:t>
            </w:r>
          </w:p>
          <w:p w:rsidR="00086F60" w:rsidRPr="00086F60" w:rsidRDefault="00086F60" w:rsidP="00A069DA">
            <w:pPr>
              <w:tabs>
                <w:tab w:val="left" w:pos="-720"/>
                <w:tab w:val="left" w:pos="4536"/>
              </w:tabs>
              <w:suppressAutoHyphens/>
              <w:jc w:val="both"/>
              <w:rPr>
                <w:szCs w:val="22"/>
              </w:rPr>
            </w:pPr>
            <w:r w:rsidRPr="00086F60">
              <w:rPr>
                <w:bCs/>
                <w:iCs/>
                <w:szCs w:val="22"/>
              </w:rPr>
              <w:t>E-mail:farmavet2017@gmail.com</w:t>
            </w:r>
          </w:p>
          <w:p w:rsidR="00A3008A" w:rsidRPr="00C32182" w:rsidRDefault="00A3008A" w:rsidP="00086F60">
            <w:pPr>
              <w:jc w:val="both"/>
              <w:rPr>
                <w:bCs/>
                <w:szCs w:val="22"/>
              </w:rPr>
            </w:pPr>
          </w:p>
        </w:tc>
      </w:tr>
    </w:tbl>
    <w:p w:rsidR="00A3008A" w:rsidRPr="00C32182" w:rsidRDefault="00A3008A" w:rsidP="00A3008A">
      <w:pPr>
        <w:pStyle w:val="Style1"/>
        <w:jc w:val="both"/>
      </w:pPr>
      <w:r w:rsidRPr="00C32182">
        <w:rPr>
          <w:highlight w:val="lightGray"/>
        </w:rPr>
        <w:t>17.</w:t>
      </w:r>
      <w:r w:rsidR="00086F60">
        <w:tab/>
        <w:t>Alte informații</w:t>
      </w:r>
    </w:p>
    <w:p w:rsidR="00864FD9" w:rsidRPr="00864FD9" w:rsidRDefault="00864FD9" w:rsidP="00864FD9">
      <w:pPr>
        <w:tabs>
          <w:tab w:val="clear" w:pos="567"/>
        </w:tabs>
        <w:spacing w:line="240" w:lineRule="auto"/>
        <w:jc w:val="both"/>
        <w:rPr>
          <w:szCs w:val="22"/>
        </w:rPr>
      </w:pPr>
      <w:r w:rsidRPr="00864FD9">
        <w:rPr>
          <w:szCs w:val="22"/>
        </w:rPr>
        <w:t xml:space="preserve">Produsul medicinal veterinar contribuie la controlul populațiilor de purici din mediul înconjurător în zonele la care au acces câinii tratați. </w:t>
      </w:r>
    </w:p>
    <w:p w:rsidR="00864FD9" w:rsidRPr="00864FD9" w:rsidRDefault="00864FD9" w:rsidP="00864FD9">
      <w:pPr>
        <w:tabs>
          <w:tab w:val="clear" w:pos="567"/>
        </w:tabs>
        <w:spacing w:line="240" w:lineRule="auto"/>
        <w:jc w:val="both"/>
        <w:rPr>
          <w:szCs w:val="22"/>
        </w:rPr>
      </w:pPr>
      <w:r w:rsidRPr="00864FD9">
        <w:rPr>
          <w:szCs w:val="22"/>
        </w:rPr>
        <w:t xml:space="preserve"> </w:t>
      </w:r>
    </w:p>
    <w:p w:rsidR="00864FD9" w:rsidRDefault="00864FD9" w:rsidP="00864FD9">
      <w:pPr>
        <w:tabs>
          <w:tab w:val="clear" w:pos="567"/>
        </w:tabs>
        <w:spacing w:line="240" w:lineRule="auto"/>
        <w:jc w:val="both"/>
        <w:rPr>
          <w:szCs w:val="22"/>
        </w:rPr>
      </w:pPr>
      <w:r w:rsidRPr="00864FD9">
        <w:rPr>
          <w:szCs w:val="22"/>
        </w:rPr>
        <w:t>Căpușele I</w:t>
      </w:r>
      <w:r w:rsidRPr="00864FD9">
        <w:rPr>
          <w:i/>
          <w:szCs w:val="22"/>
        </w:rPr>
        <w:t>. Ricinus</w:t>
      </w:r>
      <w:r w:rsidRPr="00864FD9">
        <w:rPr>
          <w:szCs w:val="22"/>
        </w:rPr>
        <w:t xml:space="preserve"> și </w:t>
      </w:r>
      <w:r w:rsidRPr="00864FD9">
        <w:rPr>
          <w:i/>
          <w:szCs w:val="22"/>
        </w:rPr>
        <w:t>D. reticulatus</w:t>
      </w:r>
      <w:r w:rsidRPr="00864FD9">
        <w:rPr>
          <w:szCs w:val="22"/>
        </w:rPr>
        <w:t xml:space="preserve"> deja prezente pe câine înainte de administrarea produsului medicinal de uz veterinar sunt ucise în termen de 72 de ore. Căpușele </w:t>
      </w:r>
      <w:r w:rsidRPr="00864FD9">
        <w:rPr>
          <w:i/>
          <w:szCs w:val="22"/>
        </w:rPr>
        <w:t>R. sanguineus</w:t>
      </w:r>
      <w:r w:rsidRPr="00864FD9">
        <w:rPr>
          <w:szCs w:val="22"/>
        </w:rPr>
        <w:t xml:space="preserve"> deja prezente pe câine înainte de administrarea produsului medicinal de uz veterinar sunt ucise în termen de 96 de ore. Căpușele nou infestante sunt ucise în 48 de ore, începând de la o săptămână până la 12 luni după tratament.</w:t>
      </w:r>
    </w:p>
    <w:p w:rsidR="00864FD9" w:rsidRDefault="00864FD9" w:rsidP="00864FD9">
      <w:pPr>
        <w:tabs>
          <w:tab w:val="clear" w:pos="567"/>
        </w:tabs>
        <w:spacing w:line="240" w:lineRule="auto"/>
        <w:jc w:val="both"/>
        <w:rPr>
          <w:szCs w:val="22"/>
        </w:rPr>
      </w:pPr>
      <w:r w:rsidRPr="00864FD9">
        <w:rPr>
          <w:szCs w:val="22"/>
        </w:rPr>
        <w:t xml:space="preserve"> Puricii deja prezenți pe câine înainte de administrarea produsului medicinal de uz veterinar sunt uciși în 48 de ore. Puricii nou infestanți sunt uciși în termen de 24 de ore,  începând de la o săptămână până la 12 luni după tratament. </w:t>
      </w:r>
    </w:p>
    <w:p w:rsidR="00EA16B4" w:rsidRDefault="00EA16B4" w:rsidP="00864FD9">
      <w:pPr>
        <w:tabs>
          <w:tab w:val="clear" w:pos="567"/>
        </w:tabs>
        <w:spacing w:line="240" w:lineRule="auto"/>
        <w:jc w:val="both"/>
        <w:rPr>
          <w:szCs w:val="22"/>
        </w:rPr>
      </w:pPr>
    </w:p>
    <w:p w:rsidR="00EA16B4" w:rsidRDefault="00EA16B4" w:rsidP="00864FD9">
      <w:pPr>
        <w:tabs>
          <w:tab w:val="clear" w:pos="567"/>
        </w:tabs>
        <w:spacing w:line="240" w:lineRule="auto"/>
        <w:jc w:val="both"/>
        <w:rPr>
          <w:szCs w:val="22"/>
        </w:rPr>
      </w:pPr>
    </w:p>
    <w:p w:rsidR="00EA16B4" w:rsidRPr="00EA16B4" w:rsidRDefault="00EA16B4" w:rsidP="00864FD9">
      <w:pPr>
        <w:tabs>
          <w:tab w:val="clear" w:pos="567"/>
        </w:tabs>
        <w:spacing w:line="240" w:lineRule="auto"/>
        <w:jc w:val="both"/>
        <w:rPr>
          <w:color w:val="5B9BD5" w:themeColor="accent1"/>
          <w:szCs w:val="22"/>
        </w:rPr>
      </w:pPr>
      <w:bookmarkStart w:id="1" w:name="_GoBack"/>
    </w:p>
    <w:p w:rsidR="00EA16B4" w:rsidRPr="00EA16B4" w:rsidRDefault="00EA16B4" w:rsidP="00864FD9">
      <w:pPr>
        <w:tabs>
          <w:tab w:val="clear" w:pos="567"/>
        </w:tabs>
        <w:spacing w:line="240" w:lineRule="auto"/>
        <w:jc w:val="both"/>
        <w:rPr>
          <w:color w:val="5B9BD5" w:themeColor="accent1"/>
          <w:szCs w:val="22"/>
        </w:rPr>
      </w:pPr>
      <w:r w:rsidRPr="00EA16B4">
        <w:rPr>
          <w:color w:val="5B9BD5" w:themeColor="accent1"/>
          <w:szCs w:val="22"/>
        </w:rPr>
        <w:t>https://www.msd-animal-health-hub.co.uk/Products/Bravecto-Injectable</w:t>
      </w:r>
    </w:p>
    <w:bookmarkEnd w:id="1"/>
    <w:p w:rsidR="00A3008A" w:rsidRPr="00864FD9" w:rsidRDefault="00EA16B4" w:rsidP="00864FD9">
      <w:pPr>
        <w:tabs>
          <w:tab w:val="clear" w:pos="567"/>
        </w:tabs>
        <w:spacing w:line="240" w:lineRule="auto"/>
        <w:jc w:val="both"/>
        <w:rPr>
          <w:szCs w:val="22"/>
        </w:rPr>
      </w:pPr>
      <w:r>
        <w:rPr>
          <w:lang w:val="ru-RU"/>
        </w:rPr>
        <w:lastRenderedPageBreak/>
        <w:drawing>
          <wp:inline distT="0" distB="0" distL="0" distR="0" wp14:anchorId="1920F91E" wp14:editId="2101B803">
            <wp:extent cx="1046480" cy="861695"/>
            <wp:effectExtent l="0" t="0" r="1270" b="0"/>
            <wp:docPr id="1" name="Рисунок 1" descr="https://agroolkar.com.ua/wp-content/uploads/2017/07/dog-min-h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agroolkar.com.ua/wp-content/uploads/2017/07/dog-min-hov.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6480" cy="861695"/>
                    </a:xfrm>
                    <a:prstGeom prst="rect">
                      <a:avLst/>
                    </a:prstGeom>
                    <a:noFill/>
                    <a:ln>
                      <a:noFill/>
                    </a:ln>
                  </pic:spPr>
                </pic:pic>
              </a:graphicData>
            </a:graphic>
          </wp:inline>
        </w:drawing>
      </w:r>
    </w:p>
    <w:sectPr w:rsidR="00A3008A" w:rsidRPr="00864FD9" w:rsidSect="004B6676">
      <w:footerReference w:type="default" r:id="rId10"/>
      <w:footerReference w:type="first" r:id="rId11"/>
      <w:endnotePr>
        <w:numFmt w:val="decimal"/>
      </w:endnotePr>
      <w:pgSz w:w="11907" w:h="16840" w:code="9"/>
      <w:pgMar w:top="1134" w:right="1418" w:bottom="1080" w:left="1418" w:header="737" w:footer="737"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4B12" w:rsidRDefault="00AA4B12">
      <w:pPr>
        <w:spacing w:line="240" w:lineRule="auto"/>
      </w:pPr>
      <w:r>
        <w:separator/>
      </w:r>
    </w:p>
  </w:endnote>
  <w:endnote w:type="continuationSeparator" w:id="0">
    <w:p w:rsidR="00AA4B12" w:rsidRDefault="00AA4B1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Helvetica">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6CFA" w:rsidRPr="0058380F" w:rsidRDefault="00AA4B12">
    <w:pPr>
      <w:pStyle w:val="a3"/>
      <w:tabs>
        <w:tab w:val="clear" w:pos="8930"/>
        <w:tab w:val="right" w:pos="8931"/>
      </w:tabs>
      <w:jc w:val="center"/>
      <w:rPr>
        <w:rFonts w:ascii="Times New Roman" w:hAnsi="Times New Roman"/>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6CFA" w:rsidRPr="0058380F" w:rsidRDefault="00A3008A">
    <w:pPr>
      <w:pStyle w:val="a3"/>
      <w:tabs>
        <w:tab w:val="clear" w:pos="8930"/>
        <w:tab w:val="right" w:pos="8931"/>
      </w:tabs>
      <w:jc w:val="center"/>
      <w:rPr>
        <w:rFonts w:ascii="Times New Roman" w:hAnsi="Times New Roman"/>
      </w:rPr>
    </w:pPr>
    <w:r w:rsidRPr="0058380F">
      <w:fldChar w:fldCharType="begin"/>
    </w:r>
    <w:r w:rsidRPr="0058380F">
      <w:instrText xml:space="preserve"> PAGE  \* MERGEFORMAT </w:instrText>
    </w:r>
    <w:r w:rsidRPr="0058380F">
      <w:fldChar w:fldCharType="separate"/>
    </w:r>
    <w:r w:rsidRPr="0058380F">
      <w:t>3</w:t>
    </w:r>
    <w:r w:rsidRPr="0058380F">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4B12" w:rsidRDefault="00AA4B12">
      <w:pPr>
        <w:spacing w:line="240" w:lineRule="auto"/>
      </w:pPr>
      <w:r>
        <w:separator/>
      </w:r>
    </w:p>
  </w:footnote>
  <w:footnote w:type="continuationSeparator" w:id="0">
    <w:p w:rsidR="00AA4B12" w:rsidRDefault="00AA4B1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E5B407D"/>
    <w:multiLevelType w:val="hybridMultilevel"/>
    <w:tmpl w:val="7A663650"/>
    <w:lvl w:ilvl="0" w:tplc="1DEAE876">
      <w:start w:val="1"/>
      <w:numFmt w:val="decimal"/>
      <w:lvlText w:val="%1."/>
      <w:lvlJc w:val="left"/>
      <w:pPr>
        <w:ind w:left="930" w:hanging="57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4F6B"/>
    <w:rsid w:val="0006598D"/>
    <w:rsid w:val="00086F60"/>
    <w:rsid w:val="00122A76"/>
    <w:rsid w:val="001674EB"/>
    <w:rsid w:val="001D5814"/>
    <w:rsid w:val="001F12D8"/>
    <w:rsid w:val="0023592A"/>
    <w:rsid w:val="002C3D60"/>
    <w:rsid w:val="002D317B"/>
    <w:rsid w:val="002F3CA3"/>
    <w:rsid w:val="0033508E"/>
    <w:rsid w:val="00354995"/>
    <w:rsid w:val="003A4F6B"/>
    <w:rsid w:val="003B4F8E"/>
    <w:rsid w:val="00465BC2"/>
    <w:rsid w:val="004C0F32"/>
    <w:rsid w:val="005319C1"/>
    <w:rsid w:val="005A47B2"/>
    <w:rsid w:val="005F650E"/>
    <w:rsid w:val="006B2EB1"/>
    <w:rsid w:val="007D1829"/>
    <w:rsid w:val="007D67C6"/>
    <w:rsid w:val="007E456D"/>
    <w:rsid w:val="007F6514"/>
    <w:rsid w:val="00864FD9"/>
    <w:rsid w:val="008C1F85"/>
    <w:rsid w:val="00A00275"/>
    <w:rsid w:val="00A3008A"/>
    <w:rsid w:val="00AA4B12"/>
    <w:rsid w:val="00AD4648"/>
    <w:rsid w:val="00AE1956"/>
    <w:rsid w:val="00BE081F"/>
    <w:rsid w:val="00BF67FF"/>
    <w:rsid w:val="00C163C2"/>
    <w:rsid w:val="00D716DA"/>
    <w:rsid w:val="00DE53AA"/>
    <w:rsid w:val="00E22F11"/>
    <w:rsid w:val="00E43E35"/>
    <w:rsid w:val="00E7486C"/>
    <w:rsid w:val="00EA16B4"/>
    <w:rsid w:val="00EA6150"/>
    <w:rsid w:val="00EF1D45"/>
    <w:rsid w:val="00F06288"/>
    <w:rsid w:val="00F9326E"/>
    <w:rsid w:val="00FA15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C6E1D"/>
  <w15:chartTrackingRefBased/>
  <w15:docId w15:val="{3AB4D744-0108-4546-97C0-CD415280E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008A"/>
    <w:pPr>
      <w:tabs>
        <w:tab w:val="left" w:pos="567"/>
      </w:tabs>
      <w:spacing w:after="0" w:line="260" w:lineRule="exact"/>
    </w:pPr>
    <w:rPr>
      <w:rFonts w:ascii="Times New Roman" w:eastAsia="Times New Roman" w:hAnsi="Times New Roman" w:cs="Times New Roman"/>
      <w:szCs w:val="20"/>
      <w:lang w:val="ro-R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A3008A"/>
    <w:pPr>
      <w:tabs>
        <w:tab w:val="clear" w:pos="567"/>
        <w:tab w:val="center" w:pos="4536"/>
        <w:tab w:val="center" w:pos="8930"/>
      </w:tabs>
      <w:spacing w:line="240" w:lineRule="auto"/>
    </w:pPr>
    <w:rPr>
      <w:rFonts w:ascii="Helvetica" w:hAnsi="Helvetica"/>
      <w:sz w:val="16"/>
    </w:rPr>
  </w:style>
  <w:style w:type="character" w:customStyle="1" w:styleId="a4">
    <w:name w:val="Нижний колонтитул Знак"/>
    <w:basedOn w:val="a0"/>
    <w:link w:val="a3"/>
    <w:rsid w:val="00A3008A"/>
    <w:rPr>
      <w:rFonts w:ascii="Helvetica" w:eastAsia="Times New Roman" w:hAnsi="Helvetica" w:cs="Times New Roman"/>
      <w:sz w:val="16"/>
      <w:szCs w:val="20"/>
      <w:lang w:val="ro-RO"/>
    </w:rPr>
  </w:style>
  <w:style w:type="character" w:styleId="a5">
    <w:name w:val="Hyperlink"/>
    <w:rsid w:val="00A3008A"/>
    <w:rPr>
      <w:color w:val="0000FF"/>
      <w:u w:val="single"/>
    </w:rPr>
  </w:style>
  <w:style w:type="paragraph" w:customStyle="1" w:styleId="Style1">
    <w:name w:val="Style1"/>
    <w:basedOn w:val="a"/>
    <w:qFormat/>
    <w:rsid w:val="00A3008A"/>
    <w:pPr>
      <w:tabs>
        <w:tab w:val="clear" w:pos="567"/>
        <w:tab w:val="left" w:pos="0"/>
      </w:tabs>
      <w:spacing w:line="240" w:lineRule="auto"/>
      <w:ind w:left="567" w:hanging="567"/>
    </w:pPr>
    <w:rPr>
      <w:b/>
      <w:szCs w:val="22"/>
    </w:rPr>
  </w:style>
  <w:style w:type="paragraph" w:customStyle="1" w:styleId="Style4">
    <w:name w:val="Style4"/>
    <w:basedOn w:val="a"/>
    <w:qFormat/>
    <w:rsid w:val="00A3008A"/>
    <w:rPr>
      <w:szCs w:val="22"/>
    </w:rPr>
  </w:style>
  <w:style w:type="paragraph" w:customStyle="1" w:styleId="Style5">
    <w:name w:val="Style5"/>
    <w:basedOn w:val="a"/>
    <w:qFormat/>
    <w:rsid w:val="00A3008A"/>
    <w:pPr>
      <w:numPr>
        <w:ilvl w:val="12"/>
      </w:numPr>
      <w:tabs>
        <w:tab w:val="clear" w:pos="567"/>
      </w:tabs>
      <w:spacing w:line="240" w:lineRule="auto"/>
    </w:pPr>
    <w:rPr>
      <w:szCs w:val="22"/>
    </w:rPr>
  </w:style>
  <w:style w:type="table" w:styleId="a6">
    <w:name w:val="Table Grid"/>
    <w:basedOn w:val="a1"/>
    <w:uiPriority w:val="39"/>
    <w:rsid w:val="002359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2F3CA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gistru.ansa.gov.md/"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434</TotalTime>
  <Pages>6</Pages>
  <Words>2154</Words>
  <Characters>12280</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15</cp:revision>
  <dcterms:created xsi:type="dcterms:W3CDTF">2024-07-25T13:02:00Z</dcterms:created>
  <dcterms:modified xsi:type="dcterms:W3CDTF">2025-04-08T11:11:00Z</dcterms:modified>
</cp:coreProperties>
</file>